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0EF" w14:textId="77777777" w:rsidR="002924B2" w:rsidRPr="002924B2" w:rsidRDefault="002924B2" w:rsidP="002924B2">
      <w:pPr>
        <w:shd w:val="clear" w:color="auto" w:fill="F8F8F8"/>
        <w:spacing w:after="225" w:line="288" w:lineRule="atLeast"/>
        <w:outlineLvl w:val="0"/>
        <w:rPr>
          <w:rFonts w:ascii="inherit" w:eastAsia="Times New Roman" w:hAnsi="inherit" w:cs="Open Sans"/>
          <w:color w:val="020202"/>
          <w:kern w:val="36"/>
          <w:sz w:val="42"/>
          <w:szCs w:val="42"/>
          <w:lang w:eastAsia="en-IE"/>
          <w14:ligatures w14:val="none"/>
        </w:rPr>
      </w:pPr>
      <w:proofErr w:type="spellStart"/>
      <w:r w:rsidRPr="002924B2">
        <w:rPr>
          <w:rFonts w:ascii="inherit" w:eastAsia="Times New Roman" w:hAnsi="inherit" w:cs="Open Sans"/>
          <w:color w:val="020202"/>
          <w:kern w:val="36"/>
          <w:sz w:val="42"/>
          <w:szCs w:val="42"/>
          <w:lang w:eastAsia="en-IE"/>
          <w14:ligatures w14:val="none"/>
        </w:rPr>
        <w:t>Articles</w:t>
      </w:r>
      <w:r w:rsidRPr="002924B2">
        <w:rPr>
          <w:rFonts w:ascii="inherit" w:eastAsia="Times New Roman" w:hAnsi="inherit" w:cs="Open Sans"/>
          <w:b/>
          <w:bCs/>
          <w:color w:val="020202"/>
          <w:kern w:val="36"/>
          <w:sz w:val="21"/>
          <w:szCs w:val="21"/>
          <w:lang w:eastAsia="en-IE"/>
          <w14:ligatures w14:val="none"/>
        </w:rPr>
        <w:t>NEWS</w:t>
      </w:r>
      <w:proofErr w:type="spellEnd"/>
      <w:r w:rsidRPr="002924B2">
        <w:rPr>
          <w:rFonts w:ascii="inherit" w:eastAsia="Times New Roman" w:hAnsi="inherit" w:cs="Open Sans"/>
          <w:color w:val="020202"/>
          <w:kern w:val="36"/>
          <w:sz w:val="21"/>
          <w:szCs w:val="21"/>
          <w:lang w:eastAsia="en-IE"/>
          <w14:ligatures w14:val="none"/>
        </w:rPr>
        <w:t> - IRN 40 - 06/11/2025</w:t>
      </w:r>
    </w:p>
    <w:p w14:paraId="37AA9468" w14:textId="77777777" w:rsidR="002924B2" w:rsidRPr="002924B2" w:rsidRDefault="002924B2" w:rsidP="002924B2">
      <w:pPr>
        <w:shd w:val="clear" w:color="auto" w:fill="F8F8F8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hyperlink r:id="rId4" w:history="1">
        <w:r w:rsidRPr="002924B2">
          <w:rPr>
            <w:rFonts w:ascii="Open Sans" w:eastAsia="Times New Roman" w:hAnsi="Open Sans" w:cs="Open Sans"/>
            <w:color w:val="337AB7"/>
            <w:kern w:val="0"/>
            <w:sz w:val="21"/>
            <w:szCs w:val="21"/>
            <w:u w:val="single"/>
            <w:lang w:eastAsia="en-IE"/>
            <w14:ligatures w14:val="none"/>
          </w:rPr>
          <w:t>back to contents</w:t>
        </w:r>
      </w:hyperlink>
    </w:p>
    <w:p w14:paraId="260C1C9F" w14:textId="77777777" w:rsidR="002924B2" w:rsidRPr="002924B2" w:rsidRDefault="002924B2" w:rsidP="002924B2">
      <w:pPr>
        <w:pBdr>
          <w:bottom w:val="single" w:sz="6" w:space="13" w:color="CCCCCC"/>
        </w:pBdr>
        <w:shd w:val="clear" w:color="auto" w:fill="F8F8F8"/>
        <w:spacing w:after="375" w:line="288" w:lineRule="atLeast"/>
        <w:outlineLvl w:val="1"/>
        <w:rPr>
          <w:rFonts w:ascii="inherit" w:eastAsia="Times New Roman" w:hAnsi="inherit" w:cs="Open Sans"/>
          <w:color w:val="020202"/>
          <w:kern w:val="0"/>
          <w:sz w:val="48"/>
          <w:szCs w:val="48"/>
          <w:lang w:eastAsia="en-IE"/>
          <w14:ligatures w14:val="none"/>
        </w:rPr>
      </w:pPr>
      <w:r w:rsidRPr="002924B2">
        <w:rPr>
          <w:rFonts w:ascii="inherit" w:eastAsia="Times New Roman" w:hAnsi="inherit" w:cs="Open Sans"/>
          <w:color w:val="020202"/>
          <w:kern w:val="0"/>
          <w:sz w:val="48"/>
          <w:szCs w:val="48"/>
          <w:lang w:eastAsia="en-IE"/>
          <w14:ligatures w14:val="none"/>
        </w:rPr>
        <w:t>Teagasc worker wins fixed-term work case, appeal likely</w:t>
      </w:r>
    </w:p>
    <w:p w14:paraId="39B2B423" w14:textId="77777777" w:rsidR="002924B2" w:rsidRPr="002924B2" w:rsidRDefault="002924B2" w:rsidP="002924B2">
      <w:pPr>
        <w:shd w:val="clear" w:color="auto" w:fill="F8F8F8"/>
        <w:spacing w:before="300" w:after="75" w:line="312" w:lineRule="atLeast"/>
        <w:outlineLvl w:val="2"/>
        <w:rPr>
          <w:rFonts w:ascii="Open Sans" w:eastAsia="Times New Roman" w:hAnsi="Open Sans" w:cs="Open Sans"/>
          <w:b/>
          <w:bCs/>
          <w:caps/>
          <w:color w:val="00205A"/>
          <w:kern w:val="0"/>
          <w:sz w:val="23"/>
          <w:szCs w:val="23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b/>
          <w:bCs/>
          <w:caps/>
          <w:color w:val="00205A"/>
          <w:kern w:val="0"/>
          <w:sz w:val="23"/>
          <w:szCs w:val="23"/>
          <w:lang w:eastAsia="en-IE"/>
          <w14:ligatures w14:val="none"/>
        </w:rPr>
        <w:t>ANDY PRENDERGAST</w:t>
      </w:r>
    </w:p>
    <w:p w14:paraId="17B57B48" w14:textId="77777777" w:rsidR="002924B2" w:rsidRPr="002924B2" w:rsidRDefault="002924B2" w:rsidP="002924B2">
      <w:pPr>
        <w:pBdr>
          <w:left w:val="single" w:sz="12" w:space="8" w:color="00205A"/>
        </w:pBdr>
        <w:shd w:val="clear" w:color="auto" w:fill="F8F8F8"/>
        <w:spacing w:before="150" w:after="225" w:line="240" w:lineRule="auto"/>
        <w:rPr>
          <w:rFonts w:ascii="Open Sans" w:eastAsia="Times New Roman" w:hAnsi="Open Sans" w:cs="Open Sans"/>
          <w:b/>
          <w:bCs/>
          <w:color w:val="00205A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b/>
          <w:bCs/>
          <w:color w:val="00205A"/>
          <w:kern w:val="0"/>
          <w:sz w:val="21"/>
          <w:szCs w:val="21"/>
          <w:lang w:eastAsia="en-IE"/>
          <w14:ligatures w14:val="none"/>
        </w:rPr>
        <w:t>A new WRC adjudication decision outlines that a Teagasc fixed-term employee’s contract ‘transmuted’ to a contract of indefinite duration in 2022 and ordered the agriculture body to pay salary arrears for the last three years.</w:t>
      </w:r>
    </w:p>
    <w:p w14:paraId="28474775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The new ruling, ADJ-00057939, is significant in that there are other fixed-term cases involving Teagasc that have been lodged with the WRC, with hearing dates awaited. However, IRN understands the employer will appeal the new decision to the Labour Court.</w:t>
      </w:r>
    </w:p>
    <w:p w14:paraId="518D2639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In the instant case, Mr Asaf Shnel, a member of SIPTU, claimed he should have been given a CID due to working a series of continuous fixed-term contracts since 18 November 2019. The work he has carried out on each contract “was similar/over-lapped and is an ongoing need of” Teagasc.</w:t>
      </w:r>
    </w:p>
    <w:p w14:paraId="2F0046EE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He pointed to continuity of work between the contracts and the fact that his line management has not changed in the past five years.</w:t>
      </w:r>
    </w:p>
    <w:p w14:paraId="38ADD35B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Teagasc said there was no renewal of his first and second fixed-term contracts within the meaning of the Fixed-Term Work Act of 2003. It said that his continuity of service was broken between each of the fixed-term contracts and that, without prejudice to this position, there was objective justification for the renewal of each fixed-term contract.</w:t>
      </w:r>
    </w:p>
    <w:p w14:paraId="7F921B0D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AO Bríd Deering concluded, however, that Mr </w:t>
      </w:r>
      <w:proofErr w:type="spellStart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Shnel</w:t>
      </w:r>
      <w:proofErr w:type="spellEnd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 became entitled to a contract of indefinite duration by operation of the law on 3 October 2022.</w:t>
      </w:r>
    </w:p>
    <w:p w14:paraId="2324CF7D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The day before, Mr </w:t>
      </w:r>
      <w:proofErr w:type="spellStart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Shnel</w:t>
      </w:r>
      <w:proofErr w:type="spellEnd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 was told to resign from his first contract (technician grade), so he could start on his second, fixed-purpose contract (on the technologist scale).</w:t>
      </w:r>
    </w:p>
    <w:p w14:paraId="5638BB5C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The AO found that the complainant did not voluntarily resign his employment on 2 October 2022, before his first contract had ended, to take up employment under the second contract. This was based on sworn testimony and other evidence, such as a ‘resignation link’ included in the formal offer of the second contract.</w:t>
      </w:r>
    </w:p>
    <w:p w14:paraId="5978A72A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Because his resignation was not voluntary, his continuity of employment was not severed, she said.</w:t>
      </w:r>
    </w:p>
    <w:p w14:paraId="04B1E1EF" w14:textId="77777777" w:rsidR="002924B2" w:rsidRPr="002924B2" w:rsidRDefault="002924B2" w:rsidP="002924B2">
      <w:pPr>
        <w:shd w:val="clear" w:color="auto" w:fill="F8F8F8"/>
        <w:spacing w:before="300" w:after="150" w:line="312" w:lineRule="atLeast"/>
        <w:outlineLvl w:val="3"/>
        <w:rPr>
          <w:rFonts w:ascii="Open Sans" w:eastAsia="Times New Roman" w:hAnsi="Open Sans" w:cs="Open Sans"/>
          <w:b/>
          <w:bCs/>
          <w:caps/>
          <w:color w:val="00205A"/>
          <w:kern w:val="0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b/>
          <w:bCs/>
          <w:caps/>
          <w:color w:val="00205A"/>
          <w:kern w:val="0"/>
          <w:lang w:eastAsia="en-IE"/>
          <w14:ligatures w14:val="none"/>
        </w:rPr>
        <w:lastRenderedPageBreak/>
        <w:t>CONTINUOUS SERVICE</w:t>
      </w:r>
    </w:p>
    <w:p w14:paraId="373541FA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Mr </w:t>
      </w:r>
      <w:proofErr w:type="spellStart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Shnel</w:t>
      </w:r>
      <w:proofErr w:type="spellEnd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 started his second contract on 3 October </w:t>
      </w:r>
      <w:proofErr w:type="gramStart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2022</w:t>
      </w:r>
      <w:proofErr w:type="gramEnd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 and this contract ran until 30 September 2024. Therefore, his total service across the two contracts was four years, 10 months and 13 days.</w:t>
      </w:r>
    </w:p>
    <w:p w14:paraId="1130D77C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As his service was continuous, the AO determined he had a contract of indefinite duration from 3 October 2022.</w:t>
      </w:r>
    </w:p>
    <w:p w14:paraId="19C76459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Under section 9(4) of the Fixed-Term Act, an employer can use objective justification for renewing a fixed term contract beyond the limits allowed.</w:t>
      </w:r>
    </w:p>
    <w:p w14:paraId="11617BEF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The AO noted from caselaw that successive fixed-term contracts “cannot be used to fill a permanent, ongoing need of the employer, and an employer cannot pre-emptively have recourse to successive fixed-term contracts to safeguard against the possible future risk of having too many permanent employees.”</w:t>
      </w:r>
    </w:p>
    <w:p w14:paraId="63DC2BE1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She was not satisfied on the evidence presented to her that objective justification had been made out in the case of Mr Shnel.</w:t>
      </w:r>
    </w:p>
    <w:p w14:paraId="108C4F73" w14:textId="77777777" w:rsidR="002924B2" w:rsidRPr="002924B2" w:rsidRDefault="002924B2" w:rsidP="002924B2">
      <w:pPr>
        <w:shd w:val="clear" w:color="auto" w:fill="F8F8F8"/>
        <w:spacing w:before="300" w:after="150" w:line="312" w:lineRule="atLeast"/>
        <w:outlineLvl w:val="3"/>
        <w:rPr>
          <w:rFonts w:ascii="Open Sans" w:eastAsia="Times New Roman" w:hAnsi="Open Sans" w:cs="Open Sans"/>
          <w:b/>
          <w:bCs/>
          <w:caps/>
          <w:color w:val="00205A"/>
          <w:kern w:val="0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b/>
          <w:bCs/>
          <w:caps/>
          <w:color w:val="00205A"/>
          <w:kern w:val="0"/>
          <w:lang w:eastAsia="en-IE"/>
          <w14:ligatures w14:val="none"/>
        </w:rPr>
        <w:t>SALARY ARREARS</w:t>
      </w:r>
    </w:p>
    <w:p w14:paraId="71D0BA27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AO Deering ordered Teagasc to place the complainant on the appropriate point of the Technologist grade 1 pay scale that the complainant would now be on, had he not been moved to the Technician grade 1 pay scale on 30 September 2024.</w:t>
      </w:r>
    </w:p>
    <w:p w14:paraId="6F826007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Teagasc must also pay the complainant any arrears of pay due to him arising as a consequence of this decision (i.e., the complainant should have continued to be paid at point 2 of the technologist grade 1 pay scale after the 30 September 2024 until 2 October 2024; point 3 of the technologist grade 1 pay scale effective from 3 October 2024 until 2 October 2025; and point 4 of the technologist grade 1 pay scale with effect from 3 October 2025).</w:t>
      </w:r>
    </w:p>
    <w:p w14:paraId="77AAE21A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The current starting point (as of August 2025) on the technologist grade is €41,996 while the starting point on the technician scale is €37,315. The difference in points 2, 3 and 4 between both scales is larger again.</w:t>
      </w:r>
    </w:p>
    <w:p w14:paraId="71B0FF7F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The complainant was represented by Peter Glynn, SIPTU. The respondent was represented by Tanya Egan, ER Manager</w:t>
      </w:r>
      <w:r w:rsidRPr="002924B2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n-IE"/>
          <w14:ligatures w14:val="none"/>
        </w:rPr>
        <w:t>. (ADJ-00057939, AO: Bríd Deering)</w:t>
      </w:r>
    </w:p>
    <w:p w14:paraId="2E469550" w14:textId="77777777" w:rsidR="002924B2" w:rsidRPr="002924B2" w:rsidRDefault="002924B2" w:rsidP="002924B2">
      <w:pPr>
        <w:shd w:val="clear" w:color="auto" w:fill="F8F8F8"/>
        <w:spacing w:after="375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</w:pPr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IRN understands there are nine other cases lodged at the WRC, with a couple of cases involving service periods claimed to be </w:t>
      </w:r>
      <w:proofErr w:type="gramStart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>in excess of</w:t>
      </w:r>
      <w:proofErr w:type="gramEnd"/>
      <w:r w:rsidRPr="002924B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IE"/>
          <w14:ligatures w14:val="none"/>
        </w:rPr>
        <w:t xml:space="preserve"> eight years.</w:t>
      </w:r>
    </w:p>
    <w:p w14:paraId="719BF411" w14:textId="77777777" w:rsidR="00102819" w:rsidRDefault="00102819"/>
    <w:sectPr w:rsidR="00102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2"/>
    <w:rsid w:val="00102819"/>
    <w:rsid w:val="002924B2"/>
    <w:rsid w:val="006D4142"/>
    <w:rsid w:val="00E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9D25"/>
  <w15:chartTrackingRefBased/>
  <w15:docId w15:val="{B6A2B4FF-B6E0-408F-BC70-4C6075C3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Davis</dc:creator>
  <cp:keywords/>
  <dc:description/>
  <cp:lastModifiedBy>Karl Davis</cp:lastModifiedBy>
  <cp:revision>1</cp:revision>
  <dcterms:created xsi:type="dcterms:W3CDTF">2025-11-06T12:45:00Z</dcterms:created>
  <dcterms:modified xsi:type="dcterms:W3CDTF">2025-11-06T12:45:00Z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07fdd-18d3-4dbe-9af5-11ecd8aefe73_Enabled">
    <vt:lpwstr>true</vt:lpwstr>
  </property>
  <property fmtid="{D5CDD505-2E9C-101B-9397-08002B2CF9AE}" pid="3" name="MSIP_Label_b7407fdd-18d3-4dbe-9af5-11ecd8aefe73_SetDate">
    <vt:lpwstr>2025-11-06T12:45:51Z</vt:lpwstr>
  </property>
  <property fmtid="{D5CDD505-2E9C-101B-9397-08002B2CF9AE}" pid="4" name="MSIP_Label_b7407fdd-18d3-4dbe-9af5-11ecd8aefe73_Method">
    <vt:lpwstr>Privileged</vt:lpwstr>
  </property>
  <property fmtid="{D5CDD505-2E9C-101B-9397-08002B2CF9AE}" pid="5" name="MSIP_Label_b7407fdd-18d3-4dbe-9af5-11ecd8aefe73_Name">
    <vt:lpwstr>SIPTU - Confidential</vt:lpwstr>
  </property>
  <property fmtid="{D5CDD505-2E9C-101B-9397-08002B2CF9AE}" pid="6" name="MSIP_Label_b7407fdd-18d3-4dbe-9af5-11ecd8aefe73_SiteId">
    <vt:lpwstr>b47628df-374d-4176-b661-a9858753cbac</vt:lpwstr>
  </property>
  <property fmtid="{D5CDD505-2E9C-101B-9397-08002B2CF9AE}" pid="7" name="MSIP_Label_b7407fdd-18d3-4dbe-9af5-11ecd8aefe73_ActionId">
    <vt:lpwstr>4720db62-18b5-43f3-b7a4-177f52d7f37e</vt:lpwstr>
  </property>
  <property fmtid="{D5CDD505-2E9C-101B-9397-08002B2CF9AE}" pid="8" name="MSIP_Label_b7407fdd-18d3-4dbe-9af5-11ecd8aefe73_ContentBits">
    <vt:lpwstr>0</vt:lpwstr>
  </property>
  <property fmtid="{D5CDD505-2E9C-101B-9397-08002B2CF9AE}" pid="9" name="MSIP_Label_b7407fdd-18d3-4dbe-9af5-11ecd8aefe73_Tag">
    <vt:lpwstr>10, 0, 1, 1</vt:lpwstr>
  </property>
</Properties>
</file>