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1299" w14:textId="77777777" w:rsidR="00CA3A3C" w:rsidRPr="00CA3A3C" w:rsidRDefault="00CA3A3C" w:rsidP="00CA3A3C">
      <w:pPr>
        <w:shd w:val="clear" w:color="auto" w:fill="F8F8F8"/>
        <w:spacing w:after="225" w:line="288" w:lineRule="atLeast"/>
        <w:outlineLvl w:val="0"/>
        <w:rPr>
          <w:rFonts w:ascii="inherit" w:eastAsia="Times New Roman" w:hAnsi="inherit" w:cs="Arial"/>
          <w:color w:val="020202"/>
          <w:kern w:val="36"/>
          <w:sz w:val="42"/>
          <w:szCs w:val="42"/>
          <w:lang w:eastAsia="en-IE"/>
        </w:rPr>
      </w:pPr>
      <w:proofErr w:type="spellStart"/>
      <w:r w:rsidRPr="00CA3A3C">
        <w:rPr>
          <w:rFonts w:ascii="inherit" w:eastAsia="Times New Roman" w:hAnsi="inherit" w:cs="Arial"/>
          <w:color w:val="020202"/>
          <w:kern w:val="36"/>
          <w:sz w:val="42"/>
          <w:szCs w:val="42"/>
          <w:lang w:eastAsia="en-IE"/>
        </w:rPr>
        <w:t>Articles</w:t>
      </w:r>
      <w:r w:rsidRPr="00CA3A3C">
        <w:rPr>
          <w:rFonts w:ascii="inherit" w:eastAsia="Times New Roman" w:hAnsi="inherit" w:cs="Arial"/>
          <w:b/>
          <w:bCs/>
          <w:color w:val="020202"/>
          <w:kern w:val="36"/>
          <w:sz w:val="21"/>
          <w:szCs w:val="21"/>
          <w:lang w:eastAsia="en-IE"/>
        </w:rPr>
        <w:t>EMPLOYMENT</w:t>
      </w:r>
      <w:proofErr w:type="spellEnd"/>
      <w:r w:rsidRPr="00CA3A3C">
        <w:rPr>
          <w:rFonts w:ascii="inherit" w:eastAsia="Times New Roman" w:hAnsi="inherit" w:cs="Arial"/>
          <w:b/>
          <w:bCs/>
          <w:color w:val="020202"/>
          <w:kern w:val="36"/>
          <w:sz w:val="21"/>
          <w:szCs w:val="21"/>
          <w:lang w:eastAsia="en-IE"/>
        </w:rPr>
        <w:t xml:space="preserve"> LAW</w:t>
      </w:r>
      <w:r w:rsidRPr="00CA3A3C">
        <w:rPr>
          <w:rFonts w:ascii="inherit" w:eastAsia="Times New Roman" w:hAnsi="inherit" w:cs="Arial"/>
          <w:color w:val="020202"/>
          <w:kern w:val="36"/>
          <w:sz w:val="21"/>
          <w:szCs w:val="21"/>
          <w:lang w:eastAsia="en-IE"/>
        </w:rPr>
        <w:t> - IRN 29 - 01/08/2019</w:t>
      </w:r>
    </w:p>
    <w:p w14:paraId="0DF44F41" w14:textId="77777777" w:rsidR="00CA3A3C" w:rsidRPr="00CA3A3C" w:rsidRDefault="00CA3A3C" w:rsidP="00CA3A3C">
      <w:pPr>
        <w:shd w:val="clear" w:color="auto" w:fill="F8F8F8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hyperlink r:id="rId4" w:history="1">
        <w:r w:rsidRPr="00CA3A3C">
          <w:rPr>
            <w:rFonts w:ascii="Arial" w:eastAsia="Times New Roman" w:hAnsi="Arial" w:cs="Arial"/>
            <w:color w:val="337AB7"/>
            <w:sz w:val="21"/>
            <w:szCs w:val="21"/>
            <w:u w:val="single"/>
            <w:lang w:eastAsia="en-IE"/>
          </w:rPr>
          <w:t>back to contents</w:t>
        </w:r>
      </w:hyperlink>
    </w:p>
    <w:p w14:paraId="70911D28" w14:textId="77777777" w:rsidR="00CA3A3C" w:rsidRPr="00CA3A3C" w:rsidRDefault="00CA3A3C" w:rsidP="00CA3A3C">
      <w:pPr>
        <w:pBdr>
          <w:bottom w:val="single" w:sz="6" w:space="13" w:color="CCCCCC"/>
        </w:pBdr>
        <w:shd w:val="clear" w:color="auto" w:fill="F8F8F8"/>
        <w:spacing w:after="375" w:line="288" w:lineRule="atLeast"/>
        <w:outlineLvl w:val="1"/>
        <w:rPr>
          <w:rFonts w:ascii="inherit" w:eastAsia="Times New Roman" w:hAnsi="inherit" w:cs="Arial"/>
          <w:color w:val="020202"/>
          <w:sz w:val="48"/>
          <w:szCs w:val="48"/>
          <w:lang w:eastAsia="en-IE"/>
        </w:rPr>
      </w:pPr>
      <w:r w:rsidRPr="00CA3A3C">
        <w:rPr>
          <w:rFonts w:ascii="inherit" w:eastAsia="Times New Roman" w:hAnsi="inherit" w:cs="Arial"/>
          <w:color w:val="020202"/>
          <w:sz w:val="48"/>
          <w:szCs w:val="48"/>
          <w:lang w:eastAsia="en-IE"/>
        </w:rPr>
        <w:t>Agency worker not entitled to contract of indefinite duration</w:t>
      </w:r>
    </w:p>
    <w:p w14:paraId="0A1873FE" w14:textId="77777777" w:rsidR="00CA3A3C" w:rsidRPr="00CA3A3C" w:rsidRDefault="00CA3A3C" w:rsidP="00CA3A3C">
      <w:pPr>
        <w:shd w:val="clear" w:color="auto" w:fill="F8F8F8"/>
        <w:spacing w:before="300" w:after="75" w:line="312" w:lineRule="atLeast"/>
        <w:outlineLvl w:val="2"/>
        <w:rPr>
          <w:rFonts w:ascii="Arial" w:eastAsia="Times New Roman" w:hAnsi="Arial" w:cs="Arial"/>
          <w:b/>
          <w:bCs/>
          <w:caps/>
          <w:color w:val="00205A"/>
          <w:sz w:val="23"/>
          <w:szCs w:val="23"/>
          <w:lang w:eastAsia="en-IE"/>
        </w:rPr>
      </w:pPr>
      <w:r w:rsidRPr="00CA3A3C">
        <w:rPr>
          <w:rFonts w:ascii="Arial" w:eastAsia="Times New Roman" w:hAnsi="Arial" w:cs="Arial"/>
          <w:b/>
          <w:bCs/>
          <w:caps/>
          <w:color w:val="00205A"/>
          <w:sz w:val="23"/>
          <w:szCs w:val="23"/>
          <w:lang w:eastAsia="en-IE"/>
        </w:rPr>
        <w:t>KYRAN FITZGERALD</w:t>
      </w:r>
    </w:p>
    <w:p w14:paraId="67269B15" w14:textId="77777777" w:rsidR="00CA3A3C" w:rsidRPr="00CA3A3C" w:rsidRDefault="00CA3A3C" w:rsidP="00CA3A3C">
      <w:pPr>
        <w:pBdr>
          <w:left w:val="single" w:sz="12" w:space="8" w:color="00205A"/>
        </w:pBdr>
        <w:shd w:val="clear" w:color="auto" w:fill="F8F8F8"/>
        <w:spacing w:before="150" w:after="225" w:line="240" w:lineRule="auto"/>
        <w:rPr>
          <w:rFonts w:ascii="Arial" w:eastAsia="Times New Roman" w:hAnsi="Arial" w:cs="Arial"/>
          <w:b/>
          <w:bCs/>
          <w:color w:val="00205A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b/>
          <w:bCs/>
          <w:color w:val="00205A"/>
          <w:sz w:val="21"/>
          <w:szCs w:val="21"/>
          <w:lang w:eastAsia="en-IE"/>
        </w:rPr>
        <w:t>An accountant, recruited to work for a national cultural and heritage organisation through an employment agency, has lost his case seeking a contract of indefinite duration, at the WRC.</w:t>
      </w:r>
    </w:p>
    <w:p w14:paraId="4F185D3A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adjudicator (AO) pointed out that as an agency worker, the complainant could not take advantage of the provisions of the Fixed-Term Work Act to secure a contract of indefinite duration, as he was covered by separate legislation.</w:t>
      </w:r>
    </w:p>
    <w:p w14:paraId="74BD69C9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complainant’s representative argued that the complainant filled the role of another accountant when the latter was made redundant, having been recruited in 2014 by the respondent.</w:t>
      </w:r>
    </w:p>
    <w:p w14:paraId="21903D8E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He said there were “no objective grounds” justifying the continued employment of the complainant on a temporary contract.”</w:t>
      </w:r>
    </w:p>
    <w:p w14:paraId="35963C0A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respondent, however, said the embargo on recruitment of staff into the public service prevented the filling, on a permanent basis, of the fulltime role of the departed accountant.</w:t>
      </w:r>
    </w:p>
    <w:p w14:paraId="5F8A2219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AO clarified that the issue she was required to adjudicate on was whether the complainant’s employment is governed by the Fixed-Term Work Act, 2003, which followed the EU framework Agreement, Council Directive 1999/70/EC.</w:t>
      </w:r>
    </w:p>
    <w:p w14:paraId="514B0A73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From the introduction to the Directive, she said, “it seems clear that the authors intended to treat fixed-term workers separately from agency workers.”</w:t>
      </w:r>
    </w:p>
    <w:p w14:paraId="46DCB0CC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Clause 13 of the Directive states: “Management and labour wished to give particular attention to fixed-term work, while at the same time indicating that it was their intention to consider the need for a similar agreement relating to temporary agency work.”</w:t>
      </w:r>
    </w:p>
    <w:p w14:paraId="1B7765D7" w14:textId="77777777" w:rsidR="00CA3A3C" w:rsidRPr="00CA3A3C" w:rsidRDefault="00CA3A3C" w:rsidP="00CA3A3C">
      <w:pPr>
        <w:shd w:val="clear" w:color="auto" w:fill="F8F8F8"/>
        <w:spacing w:before="300" w:after="150" w:line="312" w:lineRule="atLeast"/>
        <w:outlineLvl w:val="3"/>
        <w:rPr>
          <w:rFonts w:ascii="Arial" w:eastAsia="Times New Roman" w:hAnsi="Arial" w:cs="Arial"/>
          <w:b/>
          <w:bCs/>
          <w:caps/>
          <w:color w:val="00205A"/>
          <w:sz w:val="24"/>
          <w:szCs w:val="24"/>
          <w:lang w:eastAsia="en-IE"/>
        </w:rPr>
      </w:pPr>
      <w:r w:rsidRPr="00CA3A3C">
        <w:rPr>
          <w:rFonts w:ascii="Arial" w:eastAsia="Times New Roman" w:hAnsi="Arial" w:cs="Arial"/>
          <w:b/>
          <w:bCs/>
          <w:caps/>
          <w:color w:val="00205A"/>
          <w:sz w:val="24"/>
          <w:szCs w:val="24"/>
          <w:lang w:eastAsia="en-IE"/>
        </w:rPr>
        <w:t>AGENCY WORK DIRECTIVE</w:t>
      </w:r>
    </w:p>
    <w:p w14:paraId="4E8AB9E1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In 2008, a Directive was passed (2008/104/EC) dealing with agency work.</w:t>
      </w:r>
    </w:p>
    <w:p w14:paraId="3B09BF3C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AO noted the difference in both directives – that the Directive on agency work “is not an ‘extension’ of the Directive on fixed-term work and that both provide a separate set of rights.”</w:t>
      </w:r>
    </w:p>
    <w:p w14:paraId="7FFA3A1C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lastRenderedPageBreak/>
        <w:t>In her view, the two statutes – the Fixed Term Work Act of 2003 and Temporary Agency Workers Act of 2012 – are independent of each other, with the objective of regulating the employment of two different categories of employee.</w:t>
      </w:r>
    </w:p>
    <w:p w14:paraId="3D9431CB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As an agency worker, the complainant “cannot claim an entitlement to a CID (contract of indefinite duration) in accordance with section 9 of the Fixed Term Work Act”, she said.</w:t>
      </w:r>
    </w:p>
    <w:p w14:paraId="794708B1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AO noted that the complainant only started making enquiries about his possible entitlement to a CID when his role was about to be consolidated into a new role of Head of Financial &amp; Procurement Services in the organisation.</w:t>
      </w:r>
    </w:p>
    <w:p w14:paraId="3525673C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His failure to make a case for a CID on the fourth anniversary of his assignment to the post “demonstrates a certain lack of conviction on his part about the strength of his case.”</w:t>
      </w:r>
    </w:p>
    <w:p w14:paraId="76F6493A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She concluded the complainant – as the employee of an employment agency – did not have a locus standi to pursue a complaint against this respondent under the Fixed Term Work Act, the Industrial Relations Act 1969, or the Terms of Employment Act 1994.</w:t>
      </w:r>
    </w:p>
    <w:p w14:paraId="61642D81" w14:textId="77777777" w:rsidR="00CA3A3C" w:rsidRPr="00CA3A3C" w:rsidRDefault="00CA3A3C" w:rsidP="00CA3A3C">
      <w:pPr>
        <w:shd w:val="clear" w:color="auto" w:fill="F8F8F8"/>
        <w:spacing w:after="375" w:line="240" w:lineRule="auto"/>
        <w:rPr>
          <w:rFonts w:ascii="Arial" w:eastAsia="Times New Roman" w:hAnsi="Arial" w:cs="Arial"/>
          <w:color w:val="333333"/>
          <w:sz w:val="21"/>
          <w:szCs w:val="21"/>
          <w:lang w:eastAsia="en-IE"/>
        </w:rPr>
      </w:pPr>
      <w:r w:rsidRPr="00CA3A3C">
        <w:rPr>
          <w:rFonts w:ascii="Arial" w:eastAsia="Times New Roman" w:hAnsi="Arial" w:cs="Arial"/>
          <w:color w:val="333333"/>
          <w:sz w:val="21"/>
          <w:szCs w:val="21"/>
          <w:lang w:eastAsia="en-IE"/>
        </w:rPr>
        <w:t>The complainant was represented by Gus Cullen, Augustus Cullen Law; the respondent was represented by Patrick O’Neill, solicitor. </w:t>
      </w:r>
      <w:r w:rsidRPr="00CA3A3C">
        <w:rPr>
          <w:rFonts w:ascii="Arial" w:eastAsia="Times New Roman" w:hAnsi="Arial" w:cs="Arial"/>
          <w:i/>
          <w:iCs/>
          <w:color w:val="333333"/>
          <w:sz w:val="21"/>
          <w:szCs w:val="21"/>
          <w:lang w:eastAsia="en-IE"/>
        </w:rPr>
        <w:t>(ADJ-00021146, AO: Catherine Byrne)</w:t>
      </w:r>
    </w:p>
    <w:p w14:paraId="5B329C62" w14:textId="77777777" w:rsidR="007A317F" w:rsidRDefault="007A317F"/>
    <w:sectPr w:rsidR="007A3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3C"/>
    <w:rsid w:val="007A317F"/>
    <w:rsid w:val="00CA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2A4D"/>
  <w15:chartTrackingRefBased/>
  <w15:docId w15:val="{5D63721B-AED4-4C86-A848-1502C30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0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13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8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Phillips</dc:creator>
  <cp:keywords/>
  <dc:description/>
  <cp:lastModifiedBy>Niall Phillips</cp:lastModifiedBy>
  <cp:revision>1</cp:revision>
  <dcterms:created xsi:type="dcterms:W3CDTF">2020-11-09T09:39:00Z</dcterms:created>
  <dcterms:modified xsi:type="dcterms:W3CDTF">2020-11-09T09:40:00Z</dcterms:modified>
</cp:coreProperties>
</file>