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34205" w14:textId="77777777" w:rsidR="00B842B2" w:rsidRPr="00B842B2" w:rsidRDefault="00B842B2" w:rsidP="00B842B2">
      <w:pPr>
        <w:shd w:val="clear" w:color="auto" w:fill="F8F8F8"/>
        <w:spacing w:after="225" w:line="288" w:lineRule="atLeast"/>
        <w:outlineLvl w:val="0"/>
        <w:rPr>
          <w:rFonts w:ascii="inherit" w:eastAsia="Times New Roman" w:hAnsi="inherit" w:cs="Open Sans"/>
          <w:color w:val="020202"/>
          <w:kern w:val="36"/>
          <w:sz w:val="42"/>
          <w:szCs w:val="42"/>
          <w:lang w:eastAsia="en-IE"/>
        </w:rPr>
      </w:pPr>
      <w:r w:rsidRPr="00B842B2">
        <w:rPr>
          <w:rFonts w:ascii="inherit" w:eastAsia="Times New Roman" w:hAnsi="inherit" w:cs="Open Sans"/>
          <w:b/>
          <w:bCs/>
          <w:color w:val="020202"/>
          <w:kern w:val="36"/>
          <w:sz w:val="21"/>
          <w:szCs w:val="21"/>
          <w:lang w:eastAsia="en-IE"/>
        </w:rPr>
        <w:t>EMPLOYMENT LAW</w:t>
      </w:r>
      <w:r w:rsidRPr="00B842B2">
        <w:rPr>
          <w:rFonts w:ascii="inherit" w:eastAsia="Times New Roman" w:hAnsi="inherit" w:cs="Open Sans"/>
          <w:color w:val="020202"/>
          <w:kern w:val="36"/>
          <w:sz w:val="21"/>
          <w:szCs w:val="21"/>
          <w:lang w:eastAsia="en-IE"/>
        </w:rPr>
        <w:t> - IRN 23 - 16/06/2016</w:t>
      </w:r>
    </w:p>
    <w:p w14:paraId="33C8863F" w14:textId="77777777" w:rsidR="00B842B2" w:rsidRPr="00B842B2" w:rsidRDefault="00727557" w:rsidP="00B842B2">
      <w:pPr>
        <w:shd w:val="clear" w:color="auto" w:fill="F8F8F8"/>
        <w:spacing w:after="300" w:line="240" w:lineRule="auto"/>
        <w:rPr>
          <w:rFonts w:ascii="Open Sans" w:eastAsia="Times New Roman" w:hAnsi="Open Sans" w:cs="Open Sans"/>
          <w:color w:val="333333"/>
          <w:sz w:val="21"/>
          <w:szCs w:val="21"/>
          <w:lang w:eastAsia="en-IE"/>
        </w:rPr>
      </w:pPr>
      <w:hyperlink r:id="rId4" w:history="1">
        <w:r w:rsidR="00B842B2" w:rsidRPr="00B842B2">
          <w:rPr>
            <w:rFonts w:ascii="Open Sans" w:eastAsia="Times New Roman" w:hAnsi="Open Sans" w:cs="Open Sans"/>
            <w:color w:val="337AB7"/>
            <w:sz w:val="21"/>
            <w:szCs w:val="21"/>
            <w:u w:val="single"/>
            <w:lang w:eastAsia="en-IE"/>
          </w:rPr>
          <w:t>back to contents</w:t>
        </w:r>
      </w:hyperlink>
    </w:p>
    <w:p w14:paraId="2ED2DCDB" w14:textId="77777777" w:rsidR="00B842B2" w:rsidRPr="00B842B2" w:rsidRDefault="00B842B2" w:rsidP="00B842B2">
      <w:pPr>
        <w:pBdr>
          <w:bottom w:val="single" w:sz="6" w:space="13" w:color="CCCCCC"/>
        </w:pBdr>
        <w:shd w:val="clear" w:color="auto" w:fill="F8F8F8"/>
        <w:spacing w:after="375" w:line="288" w:lineRule="atLeast"/>
        <w:outlineLvl w:val="1"/>
        <w:rPr>
          <w:rFonts w:ascii="inherit" w:eastAsia="Times New Roman" w:hAnsi="inherit" w:cs="Open Sans"/>
          <w:color w:val="020202"/>
          <w:sz w:val="48"/>
          <w:szCs w:val="48"/>
          <w:lang w:eastAsia="en-IE"/>
        </w:rPr>
      </w:pPr>
      <w:r w:rsidRPr="00B842B2">
        <w:rPr>
          <w:rFonts w:ascii="inherit" w:eastAsia="Times New Roman" w:hAnsi="inherit" w:cs="Open Sans"/>
          <w:color w:val="020202"/>
          <w:sz w:val="48"/>
          <w:szCs w:val="48"/>
          <w:lang w:eastAsia="en-IE"/>
        </w:rPr>
        <w:t>Equality award against retailer for failing to risk-assess pregnant worker</w:t>
      </w:r>
    </w:p>
    <w:p w14:paraId="6A6F7959" w14:textId="77777777" w:rsidR="00B842B2" w:rsidRPr="00B842B2" w:rsidRDefault="00B842B2" w:rsidP="00B842B2">
      <w:pPr>
        <w:shd w:val="clear" w:color="auto" w:fill="F8F8F8"/>
        <w:spacing w:before="300" w:after="75" w:line="312" w:lineRule="atLeast"/>
        <w:outlineLvl w:val="2"/>
        <w:rPr>
          <w:rFonts w:ascii="Open Sans" w:eastAsia="Times New Roman" w:hAnsi="Open Sans" w:cs="Open Sans"/>
          <w:b/>
          <w:bCs/>
          <w:caps/>
          <w:color w:val="00205A"/>
          <w:sz w:val="23"/>
          <w:szCs w:val="23"/>
          <w:lang w:eastAsia="en-IE"/>
        </w:rPr>
      </w:pPr>
      <w:r w:rsidRPr="00B842B2">
        <w:rPr>
          <w:rFonts w:ascii="Open Sans" w:eastAsia="Times New Roman" w:hAnsi="Open Sans" w:cs="Open Sans"/>
          <w:b/>
          <w:bCs/>
          <w:caps/>
          <w:color w:val="00205A"/>
          <w:sz w:val="23"/>
          <w:szCs w:val="23"/>
          <w:lang w:eastAsia="en-IE"/>
        </w:rPr>
        <w:t>KYRAN FITZGERALD</w:t>
      </w:r>
    </w:p>
    <w:p w14:paraId="518F4996" w14:textId="77777777" w:rsidR="00B842B2" w:rsidRPr="00B842B2" w:rsidRDefault="00B842B2" w:rsidP="00B842B2">
      <w:pPr>
        <w:pBdr>
          <w:left w:val="single" w:sz="12" w:space="8" w:color="00205A"/>
        </w:pBdr>
        <w:shd w:val="clear" w:color="auto" w:fill="F8F8F8"/>
        <w:spacing w:before="150" w:after="225" w:line="240" w:lineRule="auto"/>
        <w:rPr>
          <w:rFonts w:ascii="Open Sans" w:eastAsia="Times New Roman" w:hAnsi="Open Sans" w:cs="Open Sans"/>
          <w:b/>
          <w:bCs/>
          <w:color w:val="00205A"/>
          <w:sz w:val="21"/>
          <w:szCs w:val="21"/>
          <w:lang w:eastAsia="en-IE"/>
        </w:rPr>
      </w:pPr>
      <w:r w:rsidRPr="00B842B2">
        <w:rPr>
          <w:rFonts w:ascii="Open Sans" w:eastAsia="Times New Roman" w:hAnsi="Open Sans" w:cs="Open Sans"/>
          <w:b/>
          <w:bCs/>
          <w:color w:val="00205A"/>
          <w:sz w:val="21"/>
          <w:szCs w:val="21"/>
          <w:lang w:eastAsia="en-IE"/>
        </w:rPr>
        <w:t xml:space="preserve">A retail multiple has been ordered by the Equality Tribunal to pay €7,500 in compensation to a female employee, arising out of its treatment of her </w:t>
      </w:r>
      <w:proofErr w:type="gramStart"/>
      <w:r w:rsidRPr="00B842B2">
        <w:rPr>
          <w:rFonts w:ascii="Open Sans" w:eastAsia="Times New Roman" w:hAnsi="Open Sans" w:cs="Open Sans"/>
          <w:b/>
          <w:bCs/>
          <w:color w:val="00205A"/>
          <w:sz w:val="21"/>
          <w:szCs w:val="21"/>
          <w:lang w:eastAsia="en-IE"/>
        </w:rPr>
        <w:t>during the course of</w:t>
      </w:r>
      <w:proofErr w:type="gramEnd"/>
      <w:r w:rsidRPr="00B842B2">
        <w:rPr>
          <w:rFonts w:ascii="Open Sans" w:eastAsia="Times New Roman" w:hAnsi="Open Sans" w:cs="Open Sans"/>
          <w:b/>
          <w:bCs/>
          <w:color w:val="00205A"/>
          <w:sz w:val="21"/>
          <w:szCs w:val="21"/>
          <w:lang w:eastAsia="en-IE"/>
        </w:rPr>
        <w:t xml:space="preserve"> her pregnancy.</w:t>
      </w:r>
    </w:p>
    <w:p w14:paraId="0106DBCF"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The Tribunal concluded that the failure of the respondent to carry out an individual risk assessment amounted to less favourable treatment on the grounds of gender.</w:t>
      </w:r>
    </w:p>
    <w:p w14:paraId="7F2B3F48"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The claimant submitted that she attended for work on October 14, 2014, following a three-week period of sick leave. She had intended to hand a medical cert to the HR manager, Ms A, on the previous day, but was unable to do, as she was away from her office.</w:t>
      </w:r>
    </w:p>
    <w:p w14:paraId="39279802"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On October 14, the HR manager would not accept the medical cert, and ordered the claimant home on the basis that she “was not fit for work”.</w:t>
      </w:r>
    </w:p>
    <w:p w14:paraId="3EFF447E"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According to the respondent, the claimant had spoken with Ms A, six weeks previously, enquiring about the possibility of a switch from the grocery shop floor to the checkouts. No medical evidence was submitted in support of this request, at this point.</w:t>
      </w:r>
    </w:p>
    <w:p w14:paraId="61F35F5A"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When Ms A consulted the medical cert in October, she was concerned at the lack of detail, “as working on checkouts could often require the lifting of heavy items”.</w:t>
      </w:r>
    </w:p>
    <w:p w14:paraId="509DE7C5" w14:textId="77777777" w:rsidR="00B842B2" w:rsidRPr="00B842B2" w:rsidRDefault="00B842B2" w:rsidP="00B842B2">
      <w:pPr>
        <w:shd w:val="clear" w:color="auto" w:fill="F8F8F8"/>
        <w:spacing w:before="300" w:after="150" w:line="312" w:lineRule="atLeast"/>
        <w:outlineLvl w:val="3"/>
        <w:rPr>
          <w:rFonts w:ascii="Open Sans" w:eastAsia="Times New Roman" w:hAnsi="Open Sans" w:cs="Open Sans"/>
          <w:b/>
          <w:bCs/>
          <w:caps/>
          <w:color w:val="00205A"/>
          <w:sz w:val="24"/>
          <w:szCs w:val="24"/>
          <w:lang w:eastAsia="en-IE"/>
        </w:rPr>
      </w:pPr>
      <w:r w:rsidRPr="00B842B2">
        <w:rPr>
          <w:rFonts w:ascii="Open Sans" w:eastAsia="Times New Roman" w:hAnsi="Open Sans" w:cs="Open Sans"/>
          <w:b/>
          <w:bCs/>
          <w:caps/>
          <w:color w:val="00205A"/>
          <w:sz w:val="24"/>
          <w:szCs w:val="24"/>
          <w:lang w:eastAsia="en-IE"/>
        </w:rPr>
        <w:t>ASSESSMENT ‘NOT FEASIBLE’</w:t>
      </w:r>
    </w:p>
    <w:p w14:paraId="54D155DE"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The respondent submitted that, given the large size of its workforce, it “would not be feasible to carry out individual assessments on the occasion of every pregnancy of a member of staff”.</w:t>
      </w:r>
    </w:p>
    <w:p w14:paraId="7DD815AA"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The Tribunal concluded, first, that it had jurisdiction to hear the case, even though it was open to the claimant to refer a complaint elsewhere under Maternity Protection legislation.</w:t>
      </w:r>
    </w:p>
    <w:p w14:paraId="65C409CD"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On the substantive issue, the Tribunal reviewed the law</w:t>
      </w:r>
      <w:proofErr w:type="gramStart"/>
      <w:r w:rsidRPr="00B842B2">
        <w:rPr>
          <w:rFonts w:ascii="Open Sans" w:eastAsia="Times New Roman" w:hAnsi="Open Sans" w:cs="Open Sans"/>
          <w:color w:val="333333"/>
          <w:sz w:val="21"/>
          <w:szCs w:val="21"/>
          <w:lang w:eastAsia="en-IE"/>
        </w:rPr>
        <w:t>, in particular, Article</w:t>
      </w:r>
      <w:proofErr w:type="gramEnd"/>
      <w:r w:rsidRPr="00B842B2">
        <w:rPr>
          <w:rFonts w:ascii="Open Sans" w:eastAsia="Times New Roman" w:hAnsi="Open Sans" w:cs="Open Sans"/>
          <w:color w:val="333333"/>
          <w:sz w:val="21"/>
          <w:szCs w:val="21"/>
          <w:lang w:eastAsia="en-IE"/>
        </w:rPr>
        <w:t xml:space="preserve"> 5 of the Pregnancy Directive 92/85/EEC, which requires an employer, in circumstances where an assessment reveals a risk to the health and safety of a pregnant employee, to lessen risk exposure by temporarily adjusting the working conditions and/or working hours of the employee.</w:t>
      </w:r>
    </w:p>
    <w:p w14:paraId="2CB8DECE"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lastRenderedPageBreak/>
        <w:t>Should redeployment not prove feasible, the employee should be granted health and safety leave, in accordance with national legislation and practice.</w:t>
      </w:r>
    </w:p>
    <w:p w14:paraId="4B485CCD"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The Tribunal said: “The core issue which is in dispute… relates to the precise nature of the duties which the complainant was capable of performing during the remaining period of her pregnancy…”</w:t>
      </w:r>
    </w:p>
    <w:p w14:paraId="321D07C1"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The respondent formed the view, in the absence of any individual risk assessment, that the claimant’s reassignment to checkout duties threatened her health and safety.</w:t>
      </w:r>
    </w:p>
    <w:p w14:paraId="1EBF4471" w14:textId="77777777" w:rsidR="00B842B2" w:rsidRPr="00B842B2" w:rsidRDefault="00B842B2" w:rsidP="00B842B2">
      <w:pPr>
        <w:shd w:val="clear" w:color="auto" w:fill="F8F8F8"/>
        <w:spacing w:before="300" w:after="150" w:line="312" w:lineRule="atLeast"/>
        <w:outlineLvl w:val="3"/>
        <w:rPr>
          <w:rFonts w:ascii="Open Sans" w:eastAsia="Times New Roman" w:hAnsi="Open Sans" w:cs="Open Sans"/>
          <w:b/>
          <w:bCs/>
          <w:caps/>
          <w:color w:val="00205A"/>
          <w:sz w:val="24"/>
          <w:szCs w:val="24"/>
          <w:lang w:eastAsia="en-IE"/>
        </w:rPr>
      </w:pPr>
      <w:r w:rsidRPr="00B842B2">
        <w:rPr>
          <w:rFonts w:ascii="Open Sans" w:eastAsia="Times New Roman" w:hAnsi="Open Sans" w:cs="Open Sans"/>
          <w:b/>
          <w:bCs/>
          <w:caps/>
          <w:color w:val="00205A"/>
          <w:sz w:val="24"/>
          <w:szCs w:val="24"/>
          <w:lang w:eastAsia="en-IE"/>
        </w:rPr>
        <w:t>ONUS ON EMPLOYER</w:t>
      </w:r>
    </w:p>
    <w:p w14:paraId="2AB167E9"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The Tribunal concluded that the respondent was obliged to carry out such an assessment. Had it done so, it would have been obliged to explore the possibility of temporarily adjusting her working conditions.</w:t>
      </w:r>
    </w:p>
    <w:p w14:paraId="72EC2CB5"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Instead, it “placed the onus on the complainant to obtain further clarification from her medical practitioner regarding the duties she would be capable of performing”.</w:t>
      </w:r>
    </w:p>
    <w:p w14:paraId="697C1E80"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It noted that the Safety, Health &amp; Welfare at Work Regulations 2007 place significant obligations on employers to find appropriate work for employees and do not automatically require that the employee be put off work entirely.</w:t>
      </w:r>
    </w:p>
    <w:p w14:paraId="59AB135A"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color w:val="333333"/>
          <w:sz w:val="21"/>
          <w:szCs w:val="21"/>
          <w:lang w:eastAsia="en-IE"/>
        </w:rPr>
        <w:t>In its view, the failure of the employer to carry out a risk assessment amounted to less favourable treatment of her on the gender ground during the period of her pregnancy.</w:t>
      </w:r>
    </w:p>
    <w:p w14:paraId="13125165" w14:textId="77777777" w:rsidR="00B842B2" w:rsidRPr="00B842B2" w:rsidRDefault="00B842B2" w:rsidP="00B842B2">
      <w:pPr>
        <w:shd w:val="clear" w:color="auto" w:fill="F8F8F8"/>
        <w:spacing w:after="375" w:line="240" w:lineRule="auto"/>
        <w:rPr>
          <w:rFonts w:ascii="Open Sans" w:eastAsia="Times New Roman" w:hAnsi="Open Sans" w:cs="Open Sans"/>
          <w:color w:val="333333"/>
          <w:sz w:val="21"/>
          <w:szCs w:val="21"/>
          <w:lang w:eastAsia="en-IE"/>
        </w:rPr>
      </w:pPr>
      <w:r w:rsidRPr="00B842B2">
        <w:rPr>
          <w:rFonts w:ascii="Open Sans" w:eastAsia="Times New Roman" w:hAnsi="Open Sans" w:cs="Open Sans"/>
          <w:i/>
          <w:iCs/>
          <w:color w:val="333333"/>
          <w:sz w:val="21"/>
          <w:szCs w:val="21"/>
          <w:lang w:eastAsia="en-IE"/>
        </w:rPr>
        <w:t>(A female worker v A retail multiple – DEC-E2015-064)</w:t>
      </w:r>
    </w:p>
    <w:p w14:paraId="40C9402C" w14:textId="77777777" w:rsidR="007A317F" w:rsidRDefault="007A317F"/>
    <w:sectPr w:rsidR="007A31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2B2"/>
    <w:rsid w:val="00727557"/>
    <w:rsid w:val="007A317F"/>
    <w:rsid w:val="00B842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DA1C7"/>
  <w15:chartTrackingRefBased/>
  <w15:docId w15:val="{99E6779B-3F50-4271-B66F-7FCEE338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680665">
      <w:bodyDiv w:val="1"/>
      <w:marLeft w:val="0"/>
      <w:marRight w:val="0"/>
      <w:marTop w:val="0"/>
      <w:marBottom w:val="0"/>
      <w:divBdr>
        <w:top w:val="none" w:sz="0" w:space="0" w:color="auto"/>
        <w:left w:val="none" w:sz="0" w:space="0" w:color="auto"/>
        <w:bottom w:val="none" w:sz="0" w:space="0" w:color="auto"/>
        <w:right w:val="none" w:sz="0" w:space="0" w:color="auto"/>
      </w:divBdr>
      <w:divsChild>
        <w:div w:id="122427273">
          <w:marLeft w:val="0"/>
          <w:marRight w:val="0"/>
          <w:marTop w:val="0"/>
          <w:marBottom w:val="0"/>
          <w:divBdr>
            <w:top w:val="none" w:sz="0" w:space="0" w:color="auto"/>
            <w:left w:val="none" w:sz="0" w:space="0" w:color="auto"/>
            <w:bottom w:val="none" w:sz="0" w:space="0" w:color="auto"/>
            <w:right w:val="none" w:sz="0" w:space="0" w:color="auto"/>
          </w:divBdr>
          <w:divsChild>
            <w:div w:id="1796019058">
              <w:marLeft w:val="-225"/>
              <w:marRight w:val="-225"/>
              <w:marTop w:val="0"/>
              <w:marBottom w:val="0"/>
              <w:divBdr>
                <w:top w:val="none" w:sz="0" w:space="0" w:color="auto"/>
                <w:left w:val="none" w:sz="0" w:space="0" w:color="auto"/>
                <w:bottom w:val="none" w:sz="0" w:space="0" w:color="auto"/>
                <w:right w:val="none" w:sz="0" w:space="0" w:color="auto"/>
              </w:divBdr>
              <w:divsChild>
                <w:div w:id="168455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5103">
          <w:marLeft w:val="0"/>
          <w:marRight w:val="0"/>
          <w:marTop w:val="0"/>
          <w:marBottom w:val="0"/>
          <w:divBdr>
            <w:top w:val="none" w:sz="0" w:space="0" w:color="auto"/>
            <w:left w:val="none" w:sz="0" w:space="0" w:color="auto"/>
            <w:bottom w:val="none" w:sz="0" w:space="0" w:color="auto"/>
            <w:right w:val="none" w:sz="0" w:space="0" w:color="auto"/>
          </w:divBdr>
          <w:divsChild>
            <w:div w:id="614407664">
              <w:marLeft w:val="-225"/>
              <w:marRight w:val="-225"/>
              <w:marTop w:val="0"/>
              <w:marBottom w:val="0"/>
              <w:divBdr>
                <w:top w:val="none" w:sz="0" w:space="0" w:color="auto"/>
                <w:left w:val="none" w:sz="0" w:space="0" w:color="auto"/>
                <w:bottom w:val="none" w:sz="0" w:space="0" w:color="auto"/>
                <w:right w:val="none" w:sz="0" w:space="0" w:color="auto"/>
              </w:divBdr>
              <w:divsChild>
                <w:div w:id="1692291586">
                  <w:marLeft w:val="0"/>
                  <w:marRight w:val="0"/>
                  <w:marTop w:val="0"/>
                  <w:marBottom w:val="0"/>
                  <w:divBdr>
                    <w:top w:val="none" w:sz="0" w:space="0" w:color="auto"/>
                    <w:left w:val="none" w:sz="0" w:space="0" w:color="auto"/>
                    <w:bottom w:val="none" w:sz="0" w:space="0" w:color="auto"/>
                    <w:right w:val="none" w:sz="0" w:space="0" w:color="auto"/>
                  </w:divBdr>
                  <w:divsChild>
                    <w:div w:id="1713993439">
                      <w:marLeft w:val="0"/>
                      <w:marRight w:val="0"/>
                      <w:marTop w:val="600"/>
                      <w:marBottom w:val="0"/>
                      <w:divBdr>
                        <w:top w:val="none" w:sz="0" w:space="0" w:color="auto"/>
                        <w:left w:val="none" w:sz="0" w:space="0" w:color="auto"/>
                        <w:bottom w:val="none" w:sz="0" w:space="0" w:color="auto"/>
                        <w:right w:val="none" w:sz="0" w:space="0" w:color="auto"/>
                      </w:divBdr>
                    </w:div>
                    <w:div w:id="192017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2944</Characters>
  <Application>Microsoft Office Word</Application>
  <DocSecurity>4</DocSecurity>
  <Lines>24</Lines>
  <Paragraphs>6</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Phillips</dc:creator>
  <cp:keywords/>
  <dc:description/>
  <cp:lastModifiedBy>Dimma van Dulmen</cp:lastModifiedBy>
  <cp:revision>2</cp:revision>
  <dcterms:created xsi:type="dcterms:W3CDTF">2021-05-12T14:21:00Z</dcterms:created>
  <dcterms:modified xsi:type="dcterms:W3CDTF">2021-05-12T14:21:00Z</dcterms:modified>
</cp:coreProperties>
</file>