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44C08" w14:textId="019BE43D" w:rsidR="00D45B1B" w:rsidRPr="00D45B1B" w:rsidRDefault="00D45B1B" w:rsidP="00D45B1B">
      <w:pPr>
        <w:shd w:val="clear" w:color="auto" w:fill="F8F8F8"/>
        <w:spacing w:after="225" w:line="288" w:lineRule="atLeast"/>
        <w:outlineLvl w:val="0"/>
        <w:rPr>
          <w:rFonts w:ascii="inherit" w:eastAsia="Times New Roman" w:hAnsi="inherit" w:cs="Arial"/>
          <w:color w:val="020202"/>
          <w:kern w:val="36"/>
          <w:sz w:val="42"/>
          <w:szCs w:val="42"/>
          <w:lang w:eastAsia="en-IE"/>
        </w:rPr>
      </w:pPr>
      <w:r w:rsidRPr="00D45B1B">
        <w:rPr>
          <w:rFonts w:ascii="inherit" w:eastAsia="Times New Roman" w:hAnsi="inherit" w:cs="Arial"/>
          <w:color w:val="020202"/>
          <w:kern w:val="36"/>
          <w:sz w:val="42"/>
          <w:szCs w:val="42"/>
          <w:lang w:eastAsia="en-IE"/>
        </w:rPr>
        <w:t>Articles</w:t>
      </w:r>
      <w:r>
        <w:rPr>
          <w:rFonts w:ascii="inherit" w:eastAsia="Times New Roman" w:hAnsi="inherit" w:cs="Arial"/>
          <w:color w:val="020202"/>
          <w:kern w:val="36"/>
          <w:sz w:val="42"/>
          <w:szCs w:val="42"/>
          <w:lang w:eastAsia="en-IE"/>
        </w:rPr>
        <w:t xml:space="preserve"> </w:t>
      </w:r>
      <w:r w:rsidRPr="00D45B1B">
        <w:rPr>
          <w:rFonts w:ascii="inherit" w:eastAsia="Times New Roman" w:hAnsi="inherit" w:cs="Arial"/>
          <w:b/>
          <w:bCs/>
          <w:color w:val="020202"/>
          <w:kern w:val="36"/>
          <w:sz w:val="21"/>
          <w:szCs w:val="21"/>
          <w:lang w:eastAsia="en-IE"/>
        </w:rPr>
        <w:t>NEWS</w:t>
      </w:r>
      <w:r w:rsidRPr="00D45B1B">
        <w:rPr>
          <w:rFonts w:ascii="inherit" w:eastAsia="Times New Roman" w:hAnsi="inherit" w:cs="Arial"/>
          <w:color w:val="020202"/>
          <w:kern w:val="36"/>
          <w:sz w:val="21"/>
          <w:szCs w:val="21"/>
          <w:lang w:eastAsia="en-IE"/>
        </w:rPr>
        <w:t> - IRN 03 - 23/01/2020</w:t>
      </w:r>
    </w:p>
    <w:p w14:paraId="4E059EEE" w14:textId="77777777" w:rsidR="00D45B1B" w:rsidRPr="00D45B1B" w:rsidRDefault="00B235AE" w:rsidP="00D45B1B">
      <w:pPr>
        <w:shd w:val="clear" w:color="auto" w:fill="F8F8F8"/>
        <w:spacing w:after="300" w:line="240" w:lineRule="auto"/>
        <w:rPr>
          <w:rFonts w:ascii="Arial" w:eastAsia="Times New Roman" w:hAnsi="Arial" w:cs="Arial"/>
          <w:color w:val="333333"/>
          <w:sz w:val="21"/>
          <w:szCs w:val="21"/>
          <w:lang w:eastAsia="en-IE"/>
        </w:rPr>
      </w:pPr>
      <w:hyperlink r:id="rId4" w:history="1">
        <w:r w:rsidR="00D45B1B" w:rsidRPr="00D45B1B">
          <w:rPr>
            <w:rFonts w:ascii="Arial" w:eastAsia="Times New Roman" w:hAnsi="Arial" w:cs="Arial"/>
            <w:color w:val="337AB7"/>
            <w:sz w:val="21"/>
            <w:szCs w:val="21"/>
            <w:u w:val="single"/>
            <w:lang w:eastAsia="en-IE"/>
          </w:rPr>
          <w:t>back to contents</w:t>
        </w:r>
      </w:hyperlink>
    </w:p>
    <w:p w14:paraId="48AEEA00" w14:textId="77777777" w:rsidR="00D45B1B" w:rsidRPr="00D45B1B" w:rsidRDefault="00D45B1B" w:rsidP="00D45B1B">
      <w:pPr>
        <w:pBdr>
          <w:bottom w:val="single" w:sz="6" w:space="13" w:color="CCCCCC"/>
        </w:pBdr>
        <w:shd w:val="clear" w:color="auto" w:fill="F8F8F8"/>
        <w:spacing w:after="375" w:line="288" w:lineRule="atLeast"/>
        <w:outlineLvl w:val="1"/>
        <w:rPr>
          <w:rFonts w:ascii="inherit" w:eastAsia="Times New Roman" w:hAnsi="inherit" w:cs="Arial"/>
          <w:color w:val="020202"/>
          <w:sz w:val="48"/>
          <w:szCs w:val="48"/>
          <w:lang w:eastAsia="en-IE"/>
        </w:rPr>
      </w:pPr>
      <w:r w:rsidRPr="00D45B1B">
        <w:rPr>
          <w:rFonts w:ascii="inherit" w:eastAsia="Times New Roman" w:hAnsi="inherit" w:cs="Arial"/>
          <w:color w:val="020202"/>
          <w:sz w:val="48"/>
          <w:szCs w:val="48"/>
          <w:lang w:eastAsia="en-IE"/>
        </w:rPr>
        <w:t>High Court rules Domino’s Pizza drivers are employees</w:t>
      </w:r>
    </w:p>
    <w:p w14:paraId="7953DE29" w14:textId="77777777" w:rsidR="00D45B1B" w:rsidRPr="00D45B1B" w:rsidRDefault="00D45B1B" w:rsidP="00D45B1B">
      <w:pPr>
        <w:shd w:val="clear" w:color="auto" w:fill="F8F8F8"/>
        <w:spacing w:before="300" w:after="75" w:line="312" w:lineRule="atLeast"/>
        <w:outlineLvl w:val="2"/>
        <w:rPr>
          <w:rFonts w:ascii="Arial" w:eastAsia="Times New Roman" w:hAnsi="Arial" w:cs="Arial"/>
          <w:b/>
          <w:bCs/>
          <w:caps/>
          <w:color w:val="00205A"/>
          <w:sz w:val="23"/>
          <w:szCs w:val="23"/>
          <w:lang w:eastAsia="en-IE"/>
        </w:rPr>
      </w:pPr>
      <w:r w:rsidRPr="00D45B1B">
        <w:rPr>
          <w:rFonts w:ascii="Arial" w:eastAsia="Times New Roman" w:hAnsi="Arial" w:cs="Arial"/>
          <w:b/>
          <w:bCs/>
          <w:caps/>
          <w:color w:val="00205A"/>
          <w:sz w:val="23"/>
          <w:szCs w:val="23"/>
          <w:lang w:eastAsia="en-IE"/>
        </w:rPr>
        <w:t>ANDY PRENDERGAST</w:t>
      </w:r>
    </w:p>
    <w:p w14:paraId="217EB4C5" w14:textId="77777777" w:rsidR="00D45B1B" w:rsidRPr="00D45B1B" w:rsidRDefault="00D45B1B" w:rsidP="00D45B1B">
      <w:pPr>
        <w:pBdr>
          <w:left w:val="single" w:sz="12" w:space="8" w:color="00205A"/>
        </w:pBdr>
        <w:shd w:val="clear" w:color="auto" w:fill="F8F8F8"/>
        <w:spacing w:before="150" w:after="225" w:line="240" w:lineRule="auto"/>
        <w:rPr>
          <w:rFonts w:ascii="Arial" w:eastAsia="Times New Roman" w:hAnsi="Arial" w:cs="Arial"/>
          <w:b/>
          <w:bCs/>
          <w:color w:val="00205A"/>
          <w:sz w:val="21"/>
          <w:szCs w:val="21"/>
          <w:lang w:eastAsia="en-IE"/>
        </w:rPr>
      </w:pPr>
      <w:r w:rsidRPr="00D45B1B">
        <w:rPr>
          <w:rFonts w:ascii="Arial" w:eastAsia="Times New Roman" w:hAnsi="Arial" w:cs="Arial"/>
          <w:b/>
          <w:bCs/>
          <w:color w:val="00205A"/>
          <w:sz w:val="21"/>
          <w:szCs w:val="21"/>
          <w:lang w:eastAsia="en-IE"/>
        </w:rPr>
        <w:t>The High Court has backed a Tax Appeals Commissioner’s 2018 decision that determined Domino’s Pizza drivers are employees, against the position of the pizza company which maintained they are contractors.</w:t>
      </w:r>
    </w:p>
    <w:p w14:paraId="14E9B65F"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proofErr w:type="spellStart"/>
      <w:r w:rsidRPr="00D45B1B">
        <w:rPr>
          <w:rFonts w:ascii="Arial" w:eastAsia="Times New Roman" w:hAnsi="Arial" w:cs="Arial"/>
          <w:i/>
          <w:iCs/>
          <w:color w:val="333333"/>
          <w:sz w:val="21"/>
          <w:szCs w:val="21"/>
          <w:lang w:eastAsia="en-IE"/>
        </w:rPr>
        <w:t>Karshan</w:t>
      </w:r>
      <w:proofErr w:type="spellEnd"/>
      <w:r w:rsidRPr="00D45B1B">
        <w:rPr>
          <w:rFonts w:ascii="Arial" w:eastAsia="Times New Roman" w:hAnsi="Arial" w:cs="Arial"/>
          <w:i/>
          <w:iCs/>
          <w:color w:val="333333"/>
          <w:sz w:val="21"/>
          <w:szCs w:val="21"/>
          <w:lang w:eastAsia="en-IE"/>
        </w:rPr>
        <w:t xml:space="preserve"> (Midlands) Ltd, t/a Domino’s Pizza</w:t>
      </w:r>
      <w:r w:rsidRPr="00D45B1B">
        <w:rPr>
          <w:rFonts w:ascii="Arial" w:eastAsia="Times New Roman" w:hAnsi="Arial" w:cs="Arial"/>
          <w:color w:val="333333"/>
          <w:sz w:val="21"/>
          <w:szCs w:val="21"/>
          <w:lang w:eastAsia="en-IE"/>
        </w:rPr>
        <w:t>, claimed Tax Commissioner Gallagher got it wrong in relation to four concepts: mutuality of obligation, substitution, integration, and terms of the contract.</w:t>
      </w:r>
    </w:p>
    <w:p w14:paraId="650614F4"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However, Mr Justice Tony O’Connor has disagreed with the pizza company’s arguments, that Commissioner Gallagher had erred in her approach in law to the four criteria involved.</w:t>
      </w:r>
    </w:p>
    <w:p w14:paraId="355EC88E"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The drivers work under an agreement with Domino’s Pizza with many clauses that outline the terms and conditions of their service.</w:t>
      </w:r>
    </w:p>
    <w:p w14:paraId="1040C95A"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proofErr w:type="gramStart"/>
      <w:r w:rsidRPr="00D45B1B">
        <w:rPr>
          <w:rFonts w:ascii="Arial" w:eastAsia="Times New Roman" w:hAnsi="Arial" w:cs="Arial"/>
          <w:color w:val="333333"/>
          <w:sz w:val="21"/>
          <w:szCs w:val="21"/>
          <w:lang w:eastAsia="en-IE"/>
        </w:rPr>
        <w:t>Domino’s</w:t>
      </w:r>
      <w:proofErr w:type="gramEnd"/>
      <w:r w:rsidRPr="00D45B1B">
        <w:rPr>
          <w:rFonts w:ascii="Arial" w:eastAsia="Times New Roman" w:hAnsi="Arial" w:cs="Arial"/>
          <w:color w:val="333333"/>
          <w:sz w:val="21"/>
          <w:szCs w:val="21"/>
          <w:lang w:eastAsia="en-IE"/>
        </w:rPr>
        <w:t xml:space="preserve"> believed the Commissioner failed to give proper weight to the actual terms and conditions of the contract.</w:t>
      </w:r>
    </w:p>
    <w:p w14:paraId="20794C67"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The pizza company also argued the Commissioner’s reliance on a UK case, </w:t>
      </w:r>
      <w:r w:rsidRPr="00D45B1B">
        <w:rPr>
          <w:rFonts w:ascii="Arial" w:eastAsia="Times New Roman" w:hAnsi="Arial" w:cs="Arial"/>
          <w:i/>
          <w:iCs/>
          <w:color w:val="333333"/>
          <w:sz w:val="21"/>
          <w:szCs w:val="21"/>
          <w:lang w:eastAsia="en-IE"/>
        </w:rPr>
        <w:t>Weight Watchers (UK) v Revenue and Customs Commissioners </w:t>
      </w:r>
      <w:r w:rsidRPr="00D45B1B">
        <w:rPr>
          <w:rFonts w:ascii="Arial" w:eastAsia="Times New Roman" w:hAnsi="Arial" w:cs="Arial"/>
          <w:color w:val="333333"/>
          <w:sz w:val="21"/>
          <w:szCs w:val="21"/>
          <w:lang w:eastAsia="en-IE"/>
        </w:rPr>
        <w:t>(2011), was wrong and that she failed to apply Irish law in respect of mutuality of obligation.</w:t>
      </w:r>
    </w:p>
    <w:p w14:paraId="6874C290"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The Commissioner pointed to the individual contracts of drivers that supplement the ‘umbrella’ contract, and that mutuality was found in the individual contracts.</w:t>
      </w:r>
    </w:p>
    <w:p w14:paraId="62590286"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 xml:space="preserve">The company’s position regarding the right of substitution – that a substitute </w:t>
      </w:r>
      <w:proofErr w:type="gramStart"/>
      <w:r w:rsidRPr="00D45B1B">
        <w:rPr>
          <w:rFonts w:ascii="Arial" w:eastAsia="Times New Roman" w:hAnsi="Arial" w:cs="Arial"/>
          <w:color w:val="333333"/>
          <w:sz w:val="21"/>
          <w:szCs w:val="21"/>
          <w:lang w:eastAsia="en-IE"/>
        </w:rPr>
        <w:t>has to</w:t>
      </w:r>
      <w:proofErr w:type="gramEnd"/>
      <w:r w:rsidRPr="00D45B1B">
        <w:rPr>
          <w:rFonts w:ascii="Arial" w:eastAsia="Times New Roman" w:hAnsi="Arial" w:cs="Arial"/>
          <w:color w:val="333333"/>
          <w:sz w:val="21"/>
          <w:szCs w:val="21"/>
          <w:lang w:eastAsia="en-IE"/>
        </w:rPr>
        <w:t xml:space="preserve"> be approved by Domino’s, from a pool of drivers, paid directly by the company – was “insufficient to indicate the existence of an employment relationship.”</w:t>
      </w:r>
    </w:p>
    <w:p w14:paraId="0BC2C452"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The Commissioner argued there was no real right of substitution of the drivers. Her critical finding was that Domino’s pays the replacement drivers directly.</w:t>
      </w:r>
    </w:p>
    <w:p w14:paraId="49F23802"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 xml:space="preserve">The Commissioner also rejected Domino’s assertion that the drivers are “only accessory” to its business; she deemed the </w:t>
      </w:r>
      <w:proofErr w:type="gramStart"/>
      <w:r w:rsidRPr="00D45B1B">
        <w:rPr>
          <w:rFonts w:ascii="Arial" w:eastAsia="Times New Roman" w:hAnsi="Arial" w:cs="Arial"/>
          <w:color w:val="333333"/>
          <w:sz w:val="21"/>
          <w:szCs w:val="21"/>
          <w:lang w:eastAsia="en-IE"/>
        </w:rPr>
        <w:t>drivers</w:t>
      </w:r>
      <w:proofErr w:type="gramEnd"/>
      <w:r w:rsidRPr="00D45B1B">
        <w:rPr>
          <w:rFonts w:ascii="Arial" w:eastAsia="Times New Roman" w:hAnsi="Arial" w:cs="Arial"/>
          <w:color w:val="333333"/>
          <w:sz w:val="21"/>
          <w:szCs w:val="21"/>
          <w:lang w:eastAsia="en-IE"/>
        </w:rPr>
        <w:t xml:space="preserve"> role was “vital” to the business and the drivers are “essential components.”</w:t>
      </w:r>
    </w:p>
    <w:p w14:paraId="6C5B83BC"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She also stressed the importance of how the contracts are worked, and that wording is not definitive of the nature of the work.</w:t>
      </w:r>
    </w:p>
    <w:p w14:paraId="0DD9A96D" w14:textId="77777777" w:rsidR="00D45B1B" w:rsidRPr="00D45B1B" w:rsidRDefault="00D45B1B" w:rsidP="00D45B1B">
      <w:pPr>
        <w:shd w:val="clear" w:color="auto" w:fill="F8F8F8"/>
        <w:spacing w:before="300" w:after="150" w:line="312" w:lineRule="atLeast"/>
        <w:outlineLvl w:val="3"/>
        <w:rPr>
          <w:rFonts w:ascii="Arial" w:eastAsia="Times New Roman" w:hAnsi="Arial" w:cs="Arial"/>
          <w:b/>
          <w:bCs/>
          <w:caps/>
          <w:color w:val="00205A"/>
          <w:sz w:val="24"/>
          <w:szCs w:val="24"/>
          <w:lang w:eastAsia="en-IE"/>
        </w:rPr>
      </w:pPr>
      <w:r w:rsidRPr="00D45B1B">
        <w:rPr>
          <w:rFonts w:ascii="Arial" w:eastAsia="Times New Roman" w:hAnsi="Arial" w:cs="Arial"/>
          <w:b/>
          <w:bCs/>
          <w:caps/>
          <w:color w:val="00205A"/>
          <w:sz w:val="24"/>
          <w:szCs w:val="24"/>
          <w:lang w:eastAsia="en-IE"/>
        </w:rPr>
        <w:lastRenderedPageBreak/>
        <w:t>MODERN MEANS</w:t>
      </w:r>
    </w:p>
    <w:p w14:paraId="72458440"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Appeals to the High Court are on the application of law, not on the Commissioner’s fact finding.</w:t>
      </w:r>
    </w:p>
    <w:p w14:paraId="6FEF7A4B"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Judge O’Connor said he was not persuaded by the argument put forward by Domino’s, that mutuality of obligation always requires an obligation to provide work and to complete that work on an ongoing basis – ongoing “does not necessarily connote immediate continuation or a defined period of ongoing.”</w:t>
      </w:r>
    </w:p>
    <w:p w14:paraId="51337094"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Commissioner Gallagher’s reliance on the UK Weight Watchers case “did not go against Irish law but rather recognised the necessity to adapt to modern means of engaging workers.”</w:t>
      </w:r>
    </w:p>
    <w:p w14:paraId="3D72B5CF"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Mutuality of obligations “can occur under an umbrella contract which is modified by the operation of ongoing relationships that carry obligations for both sides of the contract of employment.”</w:t>
      </w:r>
    </w:p>
    <w:p w14:paraId="74B58A15"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The Domino’s ‘umbrella’ contract requires a driver to initiate an agreement with the company: A driver who wanted work had to put his name on the availability sheet, and once rostered by Domino’s, there was a contract which retained mutual obligations.</w:t>
      </w:r>
    </w:p>
    <w:p w14:paraId="737F3732"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 xml:space="preserve">The scenario for Domino’s drivers is different from the engagement of a self-employed tradesman or solicitor, the judge noted: “Drivers, unlike those service providers, work rosters and shifts. A self-employed plumber may agree to service a </w:t>
      </w:r>
      <w:proofErr w:type="gramStart"/>
      <w:r w:rsidRPr="00D45B1B">
        <w:rPr>
          <w:rFonts w:ascii="Arial" w:eastAsia="Times New Roman" w:hAnsi="Arial" w:cs="Arial"/>
          <w:color w:val="333333"/>
          <w:sz w:val="21"/>
          <w:szCs w:val="21"/>
          <w:lang w:eastAsia="en-IE"/>
        </w:rPr>
        <w:t>boiler</w:t>
      </w:r>
      <w:proofErr w:type="gramEnd"/>
      <w:r w:rsidRPr="00D45B1B">
        <w:rPr>
          <w:rFonts w:ascii="Arial" w:eastAsia="Times New Roman" w:hAnsi="Arial" w:cs="Arial"/>
          <w:color w:val="333333"/>
          <w:sz w:val="21"/>
          <w:szCs w:val="21"/>
          <w:lang w:eastAsia="en-IE"/>
        </w:rPr>
        <w:t xml:space="preserve"> but the plumber has inherently tremendous latitude in that task unlike the drivers who had ongoing obligations.”</w:t>
      </w:r>
    </w:p>
    <w:p w14:paraId="727564D5" w14:textId="77777777" w:rsidR="00D45B1B" w:rsidRPr="00D45B1B" w:rsidRDefault="00D45B1B" w:rsidP="00D45B1B">
      <w:pPr>
        <w:shd w:val="clear" w:color="auto" w:fill="F8F8F8"/>
        <w:spacing w:before="300" w:after="150" w:line="312" w:lineRule="atLeast"/>
        <w:outlineLvl w:val="3"/>
        <w:rPr>
          <w:rFonts w:ascii="Arial" w:eastAsia="Times New Roman" w:hAnsi="Arial" w:cs="Arial"/>
          <w:b/>
          <w:bCs/>
          <w:caps/>
          <w:color w:val="00205A"/>
          <w:sz w:val="24"/>
          <w:szCs w:val="24"/>
          <w:lang w:eastAsia="en-IE"/>
        </w:rPr>
      </w:pPr>
      <w:r w:rsidRPr="00D45B1B">
        <w:rPr>
          <w:rFonts w:ascii="Arial" w:eastAsia="Times New Roman" w:hAnsi="Arial" w:cs="Arial"/>
          <w:b/>
          <w:bCs/>
          <w:caps/>
          <w:color w:val="00205A"/>
          <w:sz w:val="24"/>
          <w:szCs w:val="24"/>
          <w:lang w:eastAsia="en-IE"/>
        </w:rPr>
        <w:t>‘NOT FLAWED’</w:t>
      </w:r>
    </w:p>
    <w:p w14:paraId="1CAA4055"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O’Connor J further found that a substitute in Domino’s “was not a sub-contractor of the driver”, and that the company prepared invoices for both the driver and the substitute.</w:t>
      </w:r>
    </w:p>
    <w:p w14:paraId="4A72C795"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Regarding the integration test, the judge said: “Despite the indignation expressed on behalf of [Domino’s], the distinction between a ‘worker’ and an ‘employee’ in the UK legislation was not central to the reliance placed by the Commissioner on Uber and the other UK judgements cited in the determination for the integration and mutuality issues.”</w:t>
      </w:r>
    </w:p>
    <w:p w14:paraId="305F7CA4"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The judge said the Commissioner’s reasoning “is not flawed” and reiterated her findings that the drivers wear uniforms and place logos on their cars; reassure customers that they were dealing with personnel of Domino’s; maintain a coherent operation under the care of Domino’s; and take telephone orders from Domino’s and not the customers.</w:t>
      </w:r>
    </w:p>
    <w:p w14:paraId="5A3D6D6D" w14:textId="77777777" w:rsidR="00D45B1B" w:rsidRPr="00D45B1B" w:rsidRDefault="00D45B1B" w:rsidP="00D45B1B">
      <w:pPr>
        <w:shd w:val="clear" w:color="auto" w:fill="F8F8F8"/>
        <w:spacing w:after="375" w:line="240" w:lineRule="auto"/>
        <w:rPr>
          <w:rFonts w:ascii="Arial" w:eastAsia="Times New Roman" w:hAnsi="Arial" w:cs="Arial"/>
          <w:color w:val="333333"/>
          <w:sz w:val="21"/>
          <w:szCs w:val="21"/>
          <w:lang w:eastAsia="en-IE"/>
        </w:rPr>
      </w:pPr>
      <w:r w:rsidRPr="00D45B1B">
        <w:rPr>
          <w:rFonts w:ascii="Arial" w:eastAsia="Times New Roman" w:hAnsi="Arial" w:cs="Arial"/>
          <w:color w:val="333333"/>
          <w:sz w:val="21"/>
          <w:szCs w:val="21"/>
          <w:lang w:eastAsia="en-IE"/>
        </w:rPr>
        <w:t>Furthermore, the judge found the Commissioner “found the facts, summarised her understanding of the law and applied same without an error which has been established to the satisfaction of this Court.” </w:t>
      </w:r>
      <w:r w:rsidRPr="00D45B1B">
        <w:rPr>
          <w:rFonts w:ascii="Arial" w:eastAsia="Times New Roman" w:hAnsi="Arial" w:cs="Arial"/>
          <w:i/>
          <w:iCs/>
          <w:color w:val="333333"/>
          <w:sz w:val="21"/>
          <w:szCs w:val="21"/>
          <w:lang w:eastAsia="en-IE"/>
        </w:rPr>
        <w:t>(Domino’s Pizza v Revenue Commissioners, [2019] IEHC 894)</w:t>
      </w:r>
    </w:p>
    <w:p w14:paraId="5BF043A5" w14:textId="77777777" w:rsidR="007A317F" w:rsidRDefault="007A317F"/>
    <w:sectPr w:rsidR="007A31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1B"/>
    <w:rsid w:val="007A317F"/>
    <w:rsid w:val="00B235AE"/>
    <w:rsid w:val="00D45B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E0356"/>
  <w15:chartTrackingRefBased/>
  <w15:docId w15:val="{45F8FF41-FF0F-4721-9326-F685F72C9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291512">
      <w:bodyDiv w:val="1"/>
      <w:marLeft w:val="0"/>
      <w:marRight w:val="0"/>
      <w:marTop w:val="0"/>
      <w:marBottom w:val="0"/>
      <w:divBdr>
        <w:top w:val="none" w:sz="0" w:space="0" w:color="auto"/>
        <w:left w:val="none" w:sz="0" w:space="0" w:color="auto"/>
        <w:bottom w:val="none" w:sz="0" w:space="0" w:color="auto"/>
        <w:right w:val="none" w:sz="0" w:space="0" w:color="auto"/>
      </w:divBdr>
      <w:divsChild>
        <w:div w:id="583294662">
          <w:marLeft w:val="0"/>
          <w:marRight w:val="0"/>
          <w:marTop w:val="0"/>
          <w:marBottom w:val="0"/>
          <w:divBdr>
            <w:top w:val="none" w:sz="0" w:space="0" w:color="auto"/>
            <w:left w:val="none" w:sz="0" w:space="0" w:color="auto"/>
            <w:bottom w:val="none" w:sz="0" w:space="0" w:color="auto"/>
            <w:right w:val="none" w:sz="0" w:space="0" w:color="auto"/>
          </w:divBdr>
          <w:divsChild>
            <w:div w:id="638338988">
              <w:marLeft w:val="-225"/>
              <w:marRight w:val="-225"/>
              <w:marTop w:val="0"/>
              <w:marBottom w:val="0"/>
              <w:divBdr>
                <w:top w:val="none" w:sz="0" w:space="0" w:color="auto"/>
                <w:left w:val="none" w:sz="0" w:space="0" w:color="auto"/>
                <w:bottom w:val="none" w:sz="0" w:space="0" w:color="auto"/>
                <w:right w:val="none" w:sz="0" w:space="0" w:color="auto"/>
              </w:divBdr>
              <w:divsChild>
                <w:div w:id="42869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3202">
          <w:marLeft w:val="0"/>
          <w:marRight w:val="0"/>
          <w:marTop w:val="0"/>
          <w:marBottom w:val="0"/>
          <w:divBdr>
            <w:top w:val="none" w:sz="0" w:space="0" w:color="auto"/>
            <w:left w:val="none" w:sz="0" w:space="0" w:color="auto"/>
            <w:bottom w:val="none" w:sz="0" w:space="0" w:color="auto"/>
            <w:right w:val="none" w:sz="0" w:space="0" w:color="auto"/>
          </w:divBdr>
          <w:divsChild>
            <w:div w:id="1206480602">
              <w:marLeft w:val="-225"/>
              <w:marRight w:val="-225"/>
              <w:marTop w:val="0"/>
              <w:marBottom w:val="0"/>
              <w:divBdr>
                <w:top w:val="none" w:sz="0" w:space="0" w:color="auto"/>
                <w:left w:val="none" w:sz="0" w:space="0" w:color="auto"/>
                <w:bottom w:val="none" w:sz="0" w:space="0" w:color="auto"/>
                <w:right w:val="none" w:sz="0" w:space="0" w:color="auto"/>
              </w:divBdr>
              <w:divsChild>
                <w:div w:id="1163858206">
                  <w:marLeft w:val="0"/>
                  <w:marRight w:val="0"/>
                  <w:marTop w:val="0"/>
                  <w:marBottom w:val="0"/>
                  <w:divBdr>
                    <w:top w:val="none" w:sz="0" w:space="0" w:color="auto"/>
                    <w:left w:val="none" w:sz="0" w:space="0" w:color="auto"/>
                    <w:bottom w:val="none" w:sz="0" w:space="0" w:color="auto"/>
                    <w:right w:val="none" w:sz="0" w:space="0" w:color="auto"/>
                  </w:divBdr>
                  <w:divsChild>
                    <w:div w:id="149947345">
                      <w:marLeft w:val="0"/>
                      <w:marRight w:val="0"/>
                      <w:marTop w:val="600"/>
                      <w:marBottom w:val="0"/>
                      <w:divBdr>
                        <w:top w:val="none" w:sz="0" w:space="0" w:color="auto"/>
                        <w:left w:val="none" w:sz="0" w:space="0" w:color="auto"/>
                        <w:bottom w:val="none" w:sz="0" w:space="0" w:color="auto"/>
                        <w:right w:val="none" w:sz="0" w:space="0" w:color="auto"/>
                      </w:divBdr>
                    </w:div>
                    <w:div w:id="212306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3942</Characters>
  <Application>Microsoft Office Word</Application>
  <DocSecurity>4</DocSecurity>
  <Lines>32</Lines>
  <Paragraphs>9</Paragraphs>
  <ScaleCrop>false</ScaleCrop>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Phillips</dc:creator>
  <cp:keywords/>
  <dc:description/>
  <cp:lastModifiedBy>Dimma van Dulmen</cp:lastModifiedBy>
  <cp:revision>2</cp:revision>
  <dcterms:created xsi:type="dcterms:W3CDTF">2021-04-28T15:03:00Z</dcterms:created>
  <dcterms:modified xsi:type="dcterms:W3CDTF">2021-04-28T15:03:00Z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407fdd-18d3-4dbe-9af5-11ecd8aefe73_Enabled">
    <vt:lpwstr>true</vt:lpwstr>
  </property>
  <property fmtid="{D5CDD505-2E9C-101B-9397-08002B2CF9AE}" pid="3" name="MSIP_Label_b7407fdd-18d3-4dbe-9af5-11ecd8aefe73_SetDate">
    <vt:lpwstr>2021-04-28T12:20:57Z</vt:lpwstr>
  </property>
  <property fmtid="{D5CDD505-2E9C-101B-9397-08002B2CF9AE}" pid="4" name="MSIP_Label_b7407fdd-18d3-4dbe-9af5-11ecd8aefe73_Method">
    <vt:lpwstr>Privileged</vt:lpwstr>
  </property>
  <property fmtid="{D5CDD505-2E9C-101B-9397-08002B2CF9AE}" pid="5" name="MSIP_Label_b7407fdd-18d3-4dbe-9af5-11ecd8aefe73_Name">
    <vt:lpwstr>SIPTU - Confidential</vt:lpwstr>
  </property>
  <property fmtid="{D5CDD505-2E9C-101B-9397-08002B2CF9AE}" pid="6" name="MSIP_Label_b7407fdd-18d3-4dbe-9af5-11ecd8aefe73_SiteId">
    <vt:lpwstr>b47628df-374d-4176-b661-a9858753cbac</vt:lpwstr>
  </property>
  <property fmtid="{D5CDD505-2E9C-101B-9397-08002B2CF9AE}" pid="7" name="MSIP_Label_b7407fdd-18d3-4dbe-9af5-11ecd8aefe73_ActionId">
    <vt:lpwstr>b339ee3c-0a94-4c2a-8073-c7d07b819e52</vt:lpwstr>
  </property>
  <property fmtid="{D5CDD505-2E9C-101B-9397-08002B2CF9AE}" pid="8" name="MSIP_Label_b7407fdd-18d3-4dbe-9af5-11ecd8aefe73_ContentBits">
    <vt:lpwstr>0</vt:lpwstr>
  </property>
</Properties>
</file>