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BE85" w14:textId="77777777" w:rsidR="007249FD" w:rsidRPr="007249FD" w:rsidRDefault="007249FD" w:rsidP="007249FD">
      <w:pPr>
        <w:shd w:val="clear" w:color="auto" w:fill="F8F8F8"/>
        <w:spacing w:after="225" w:line="288" w:lineRule="atLeast"/>
        <w:outlineLvl w:val="0"/>
        <w:rPr>
          <w:rFonts w:ascii="inherit" w:eastAsia="Times New Roman" w:hAnsi="inherit" w:cs="Arial"/>
          <w:color w:val="020202"/>
          <w:kern w:val="36"/>
          <w:sz w:val="42"/>
          <w:szCs w:val="42"/>
          <w:lang w:eastAsia="en-IE"/>
        </w:rPr>
      </w:pPr>
      <w:proofErr w:type="spellStart"/>
      <w:r w:rsidRPr="007249FD">
        <w:rPr>
          <w:rFonts w:ascii="inherit" w:eastAsia="Times New Roman" w:hAnsi="inherit" w:cs="Arial"/>
          <w:color w:val="020202"/>
          <w:kern w:val="36"/>
          <w:sz w:val="42"/>
          <w:szCs w:val="42"/>
          <w:lang w:eastAsia="en-IE"/>
        </w:rPr>
        <w:t>Articles</w:t>
      </w:r>
      <w:r w:rsidRPr="007249FD">
        <w:rPr>
          <w:rFonts w:ascii="inherit" w:eastAsia="Times New Roman" w:hAnsi="inherit" w:cs="Arial"/>
          <w:b/>
          <w:bCs/>
          <w:color w:val="020202"/>
          <w:kern w:val="36"/>
          <w:sz w:val="21"/>
          <w:szCs w:val="21"/>
          <w:lang w:eastAsia="en-IE"/>
        </w:rPr>
        <w:t>FEATURE</w:t>
      </w:r>
      <w:proofErr w:type="spellEnd"/>
      <w:r w:rsidRPr="007249FD">
        <w:rPr>
          <w:rFonts w:ascii="inherit" w:eastAsia="Times New Roman" w:hAnsi="inherit" w:cs="Arial"/>
          <w:color w:val="020202"/>
          <w:kern w:val="36"/>
          <w:sz w:val="21"/>
          <w:szCs w:val="21"/>
          <w:lang w:eastAsia="en-IE"/>
        </w:rPr>
        <w:t> - IRN 23 - 18/06/2020</w:t>
      </w:r>
    </w:p>
    <w:p w14:paraId="6D99C17D" w14:textId="77777777" w:rsidR="007249FD" w:rsidRPr="007249FD" w:rsidRDefault="007249FD" w:rsidP="007249FD">
      <w:pPr>
        <w:shd w:val="clear" w:color="auto" w:fill="F8F8F8"/>
        <w:spacing w:after="300" w:line="240" w:lineRule="auto"/>
        <w:rPr>
          <w:rFonts w:ascii="Arial" w:eastAsia="Times New Roman" w:hAnsi="Arial" w:cs="Arial"/>
          <w:color w:val="333333"/>
          <w:sz w:val="21"/>
          <w:szCs w:val="21"/>
          <w:lang w:eastAsia="en-IE"/>
        </w:rPr>
      </w:pPr>
      <w:hyperlink r:id="rId5" w:history="1">
        <w:r w:rsidRPr="007249FD">
          <w:rPr>
            <w:rFonts w:ascii="Arial" w:eastAsia="Times New Roman" w:hAnsi="Arial" w:cs="Arial"/>
            <w:color w:val="337AB7"/>
            <w:sz w:val="21"/>
            <w:szCs w:val="21"/>
            <w:u w:val="single"/>
            <w:lang w:eastAsia="en-IE"/>
          </w:rPr>
          <w:t>back to contents</w:t>
        </w:r>
      </w:hyperlink>
    </w:p>
    <w:p w14:paraId="3EA0DC0F" w14:textId="77777777" w:rsidR="007249FD" w:rsidRPr="007249FD" w:rsidRDefault="007249FD" w:rsidP="007249FD">
      <w:pPr>
        <w:pBdr>
          <w:bottom w:val="single" w:sz="6" w:space="13" w:color="CCCCCC"/>
        </w:pBdr>
        <w:shd w:val="clear" w:color="auto" w:fill="F8F8F8"/>
        <w:spacing w:after="375" w:line="288" w:lineRule="atLeast"/>
        <w:outlineLvl w:val="1"/>
        <w:rPr>
          <w:rFonts w:ascii="inherit" w:eastAsia="Times New Roman" w:hAnsi="inherit" w:cs="Arial"/>
          <w:color w:val="020202"/>
          <w:sz w:val="48"/>
          <w:szCs w:val="48"/>
          <w:lang w:eastAsia="en-IE"/>
        </w:rPr>
      </w:pPr>
      <w:r w:rsidRPr="007249FD">
        <w:rPr>
          <w:rFonts w:ascii="inherit" w:eastAsia="Times New Roman" w:hAnsi="inherit" w:cs="Arial"/>
          <w:color w:val="020202"/>
          <w:sz w:val="48"/>
          <w:szCs w:val="48"/>
          <w:lang w:eastAsia="en-IE"/>
        </w:rPr>
        <w:t>The Right Route to Redundancies: Top Ten Tips</w:t>
      </w:r>
    </w:p>
    <w:p w14:paraId="3C270AD5" w14:textId="77777777" w:rsidR="007249FD" w:rsidRPr="007249FD" w:rsidRDefault="007249FD" w:rsidP="007249FD">
      <w:pPr>
        <w:shd w:val="clear" w:color="auto" w:fill="F8F8F8"/>
        <w:spacing w:before="300" w:after="75" w:line="312" w:lineRule="atLeast"/>
        <w:outlineLvl w:val="2"/>
        <w:rPr>
          <w:rFonts w:ascii="Arial" w:eastAsia="Times New Roman" w:hAnsi="Arial" w:cs="Arial"/>
          <w:b/>
          <w:bCs/>
          <w:caps/>
          <w:color w:val="00205A"/>
          <w:sz w:val="23"/>
          <w:szCs w:val="23"/>
          <w:lang w:eastAsia="en-IE"/>
        </w:rPr>
      </w:pPr>
      <w:r w:rsidRPr="007249FD">
        <w:rPr>
          <w:rFonts w:ascii="Arial" w:eastAsia="Times New Roman" w:hAnsi="Arial" w:cs="Arial"/>
          <w:b/>
          <w:bCs/>
          <w:caps/>
          <w:color w:val="00205A"/>
          <w:sz w:val="23"/>
          <w:szCs w:val="23"/>
          <w:lang w:eastAsia="en-IE"/>
        </w:rPr>
        <w:t>GERRY MCMAHON</w:t>
      </w:r>
    </w:p>
    <w:p w14:paraId="40D76FFC" w14:textId="77777777" w:rsidR="007249FD" w:rsidRPr="007249FD" w:rsidRDefault="007249FD" w:rsidP="007249FD">
      <w:pPr>
        <w:pBdr>
          <w:left w:val="single" w:sz="12" w:space="8" w:color="00205A"/>
        </w:pBdr>
        <w:shd w:val="clear" w:color="auto" w:fill="F8F8F8"/>
        <w:spacing w:before="150" w:after="225" w:line="240" w:lineRule="auto"/>
        <w:rPr>
          <w:rFonts w:ascii="Arial" w:eastAsia="Times New Roman" w:hAnsi="Arial" w:cs="Arial"/>
          <w:b/>
          <w:bCs/>
          <w:color w:val="00205A"/>
          <w:sz w:val="21"/>
          <w:szCs w:val="21"/>
          <w:lang w:eastAsia="en-IE"/>
        </w:rPr>
      </w:pPr>
      <w:r w:rsidRPr="007249FD">
        <w:rPr>
          <w:rFonts w:ascii="Arial" w:eastAsia="Times New Roman" w:hAnsi="Arial" w:cs="Arial"/>
          <w:b/>
          <w:bCs/>
          <w:color w:val="00205A"/>
          <w:sz w:val="21"/>
          <w:szCs w:val="21"/>
          <w:lang w:eastAsia="en-IE"/>
        </w:rPr>
        <w:t>It is predicted with some certainty that one of the biggest fallouts from the Covid-19 pandemic will be job losses. Given that the burden of proof normally rests with the employer to show that they have acted fairly and reasonably in all of the circumstances associated with terminations, here are 10 ‘top tips’ designed to help employers stay on the right side of the law.</w:t>
      </w:r>
    </w:p>
    <w:p w14:paraId="23EFF1E3"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Whilst the Economic and Social Research Institute has estimated 320,000 such losses in Ireland, the Central Bank puts the figure at nearer 500,000. Either way, it is evident that redundancies are now back on many employers’ agendas.</w:t>
      </w:r>
    </w:p>
    <w:p w14:paraId="471F550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However, as occurred frequently in the wake of the 2008 recession, employers may be held legally liable where the process is mismanaged and includes an unfair selection process. In such circumstances, the employer’s bill may far exceed the redundancy pay-out. So, one would do well to recall that redundant employees can claim unfair dismissal on the basis that:</w:t>
      </w:r>
    </w:p>
    <w:p w14:paraId="180EA76C" w14:textId="77777777" w:rsidR="007249FD" w:rsidRPr="007249FD" w:rsidRDefault="007249FD" w:rsidP="007249FD">
      <w:pPr>
        <w:shd w:val="clear" w:color="auto" w:fill="CADEFF"/>
        <w:spacing w:after="100" w:line="240" w:lineRule="auto"/>
        <w:rPr>
          <w:rFonts w:ascii="Georgia" w:eastAsia="Times New Roman" w:hAnsi="Georgia" w:cs="Arial"/>
          <w:i/>
          <w:iCs/>
          <w:color w:val="00215B"/>
          <w:sz w:val="24"/>
          <w:szCs w:val="24"/>
          <w:lang w:eastAsia="en-IE"/>
        </w:rPr>
      </w:pPr>
      <w:r w:rsidRPr="007249FD">
        <w:rPr>
          <w:rFonts w:ascii="Georgia" w:eastAsia="Times New Roman" w:hAnsi="Georgia" w:cs="Arial"/>
          <w:i/>
          <w:iCs/>
          <w:color w:val="00215B"/>
          <w:sz w:val="24"/>
          <w:szCs w:val="24"/>
          <w:lang w:eastAsia="en-IE"/>
        </w:rPr>
        <w:t>Using a crisis to get rid of a troublesome employee may rebound</w:t>
      </w:r>
    </w:p>
    <w:p w14:paraId="05398998"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w:t>
      </w:r>
      <w:proofErr w:type="spellStart"/>
      <w:r w:rsidRPr="007249FD">
        <w:rPr>
          <w:rFonts w:ascii="Arial" w:eastAsia="Times New Roman" w:hAnsi="Arial" w:cs="Arial"/>
          <w:color w:val="333333"/>
          <w:sz w:val="21"/>
          <w:szCs w:val="21"/>
          <w:lang w:eastAsia="en-IE"/>
        </w:rPr>
        <w:t>i</w:t>
      </w:r>
      <w:proofErr w:type="spellEnd"/>
      <w:r w:rsidRPr="007249FD">
        <w:rPr>
          <w:rFonts w:ascii="Arial" w:eastAsia="Times New Roman" w:hAnsi="Arial" w:cs="Arial"/>
          <w:color w:val="333333"/>
          <w:sz w:val="21"/>
          <w:szCs w:val="21"/>
          <w:lang w:eastAsia="en-IE"/>
        </w:rPr>
        <w:t xml:space="preserve">) other employees should have been considered in the </w:t>
      </w:r>
      <w:proofErr w:type="gramStart"/>
      <w:r w:rsidRPr="007249FD">
        <w:rPr>
          <w:rFonts w:ascii="Arial" w:eastAsia="Times New Roman" w:hAnsi="Arial" w:cs="Arial"/>
          <w:color w:val="333333"/>
          <w:sz w:val="21"/>
          <w:szCs w:val="21"/>
          <w:lang w:eastAsia="en-IE"/>
        </w:rPr>
        <w:t>process;</w:t>
      </w:r>
      <w:proofErr w:type="gramEnd"/>
    </w:p>
    <w:p w14:paraId="0B6037E8"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(ii) the process differed from a previously agreed </w:t>
      </w:r>
      <w:proofErr w:type="gramStart"/>
      <w:r w:rsidRPr="007249FD">
        <w:rPr>
          <w:rFonts w:ascii="Arial" w:eastAsia="Times New Roman" w:hAnsi="Arial" w:cs="Arial"/>
          <w:color w:val="333333"/>
          <w:sz w:val="21"/>
          <w:szCs w:val="21"/>
          <w:lang w:eastAsia="en-IE"/>
        </w:rPr>
        <w:t>procedure;</w:t>
      </w:r>
      <w:proofErr w:type="gramEnd"/>
    </w:p>
    <w:p w14:paraId="054D6ECA"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(iii) the criteria used were unfair and/or</w:t>
      </w:r>
    </w:p>
    <w:p w14:paraId="069FF502"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(iv) selection was </w:t>
      </w:r>
      <w:proofErr w:type="gramStart"/>
      <w:r w:rsidRPr="007249FD">
        <w:rPr>
          <w:rFonts w:ascii="Arial" w:eastAsia="Times New Roman" w:hAnsi="Arial" w:cs="Arial"/>
          <w:color w:val="333333"/>
          <w:sz w:val="21"/>
          <w:szCs w:val="21"/>
          <w:lang w:eastAsia="en-IE"/>
        </w:rPr>
        <w:t>on the basis of</w:t>
      </w:r>
      <w:proofErr w:type="gramEnd"/>
      <w:r w:rsidRPr="007249FD">
        <w:rPr>
          <w:rFonts w:ascii="Arial" w:eastAsia="Times New Roman" w:hAnsi="Arial" w:cs="Arial"/>
          <w:color w:val="333333"/>
          <w:sz w:val="21"/>
          <w:szCs w:val="21"/>
          <w:lang w:eastAsia="en-IE"/>
        </w:rPr>
        <w:t xml:space="preserve"> discriminatory grounds (e.g. age, race). Hence, having decided to make a role redundant and identified that more than one employee is doing this or a similar role/work, ensuring that the selection process is fair is of paramount importance.</w:t>
      </w:r>
    </w:p>
    <w:p w14:paraId="4186F4F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1: </w:t>
      </w:r>
      <w:r w:rsidRPr="007249FD">
        <w:rPr>
          <w:rFonts w:ascii="Arial" w:eastAsia="Times New Roman" w:hAnsi="Arial" w:cs="Arial"/>
          <w:b/>
          <w:bCs/>
          <w:i/>
          <w:iCs/>
          <w:color w:val="333333"/>
          <w:sz w:val="21"/>
          <w:szCs w:val="21"/>
          <w:lang w:eastAsia="en-IE"/>
        </w:rPr>
        <w:t>Seek Proposals </w:t>
      </w:r>
      <w:r w:rsidRPr="007249FD">
        <w:rPr>
          <w:rFonts w:ascii="Arial" w:eastAsia="Times New Roman" w:hAnsi="Arial" w:cs="Arial"/>
          <w:i/>
          <w:iCs/>
          <w:color w:val="333333"/>
          <w:sz w:val="21"/>
          <w:szCs w:val="21"/>
          <w:lang w:eastAsia="en-IE"/>
        </w:rPr>
        <w:t>-</w:t>
      </w:r>
      <w:r w:rsidRPr="007249FD">
        <w:rPr>
          <w:rFonts w:ascii="Arial" w:eastAsia="Times New Roman" w:hAnsi="Arial" w:cs="Arial"/>
          <w:color w:val="333333"/>
          <w:sz w:val="21"/>
          <w:szCs w:val="21"/>
          <w:lang w:eastAsia="en-IE"/>
        </w:rPr>
        <w:t> case precedent confirms the importance of considering options prior to effecting redundancies (see UD 950/2008 to UD 957/2008). So, inform the affected employee(s) of the situation and invite proposals for consideration (e.g. voluntary redundancy, pay cuts, reduced work hours/ arrangements).</w:t>
      </w:r>
    </w:p>
    <w:p w14:paraId="71716EA4"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This will help ensure avoidance of liability on the grounds identified by the Employment Appeals Tribunal (EAT) in one such case in 2012, that: ‘No forewarning was given and no alternative was considered’ (UD827/2012).</w:t>
      </w:r>
    </w:p>
    <w:p w14:paraId="27AE7687"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2: </w:t>
      </w:r>
      <w:r w:rsidRPr="007249FD">
        <w:rPr>
          <w:rFonts w:ascii="Arial" w:eastAsia="Times New Roman" w:hAnsi="Arial" w:cs="Arial"/>
          <w:b/>
          <w:bCs/>
          <w:i/>
          <w:iCs/>
          <w:color w:val="333333"/>
          <w:sz w:val="21"/>
          <w:szCs w:val="21"/>
          <w:lang w:eastAsia="en-IE"/>
        </w:rPr>
        <w:t>Keep Records</w:t>
      </w:r>
      <w:r w:rsidRPr="007249FD">
        <w:rPr>
          <w:rFonts w:ascii="Arial" w:eastAsia="Times New Roman" w:hAnsi="Arial" w:cs="Arial"/>
          <w:color w:val="333333"/>
          <w:sz w:val="21"/>
          <w:szCs w:val="21"/>
          <w:lang w:eastAsia="en-IE"/>
        </w:rPr>
        <w:t> - keep records of the complete process, as they may be required in evidence before a third party (i.e. to confirm the employer’s legitimate and ‘reasonable’ behaviour/actions).</w:t>
      </w:r>
    </w:p>
    <w:p w14:paraId="6B05D0B6"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lastRenderedPageBreak/>
        <w:t>The records should also provide evidence of adherence to obligations in respect of collective redundancies, as provided for under the Protection of Employment Acts 1977 to 2014. The Acts state that an employer is obliged to give the relevant Minister (a min. of 30 days’) notice with supporting information (see Statutory Instrument 140/1977). The thresholds determining if the redundancies are ‘collective’ are:</w:t>
      </w:r>
    </w:p>
    <w:p w14:paraId="5924D4BF" w14:textId="77777777" w:rsidR="007249FD" w:rsidRPr="007249FD" w:rsidRDefault="007249FD" w:rsidP="007249FD">
      <w:pPr>
        <w:numPr>
          <w:ilvl w:val="0"/>
          <w:numId w:val="1"/>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 xml:space="preserve">5 employees where 21-49 are </w:t>
      </w:r>
      <w:proofErr w:type="gramStart"/>
      <w:r w:rsidRPr="007249FD">
        <w:rPr>
          <w:rFonts w:ascii="Arial" w:eastAsia="Times New Roman" w:hAnsi="Arial" w:cs="Arial"/>
          <w:color w:val="020202"/>
          <w:sz w:val="21"/>
          <w:szCs w:val="21"/>
          <w:lang w:eastAsia="en-IE"/>
        </w:rPr>
        <w:t>employed;</w:t>
      </w:r>
      <w:proofErr w:type="gramEnd"/>
    </w:p>
    <w:p w14:paraId="75027C53" w14:textId="77777777" w:rsidR="007249FD" w:rsidRPr="007249FD" w:rsidRDefault="007249FD" w:rsidP="007249FD">
      <w:pPr>
        <w:numPr>
          <w:ilvl w:val="0"/>
          <w:numId w:val="1"/>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 xml:space="preserve">10 employees where 50-99 are </w:t>
      </w:r>
      <w:proofErr w:type="gramStart"/>
      <w:r w:rsidRPr="007249FD">
        <w:rPr>
          <w:rFonts w:ascii="Arial" w:eastAsia="Times New Roman" w:hAnsi="Arial" w:cs="Arial"/>
          <w:color w:val="020202"/>
          <w:sz w:val="21"/>
          <w:szCs w:val="21"/>
          <w:lang w:eastAsia="en-IE"/>
        </w:rPr>
        <w:t>employed;</w:t>
      </w:r>
      <w:proofErr w:type="gramEnd"/>
    </w:p>
    <w:p w14:paraId="7B686D4A" w14:textId="77777777" w:rsidR="007249FD" w:rsidRPr="007249FD" w:rsidRDefault="007249FD" w:rsidP="007249FD">
      <w:pPr>
        <w:numPr>
          <w:ilvl w:val="0"/>
          <w:numId w:val="1"/>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10% of the employees where 100-299 are employed; and</w:t>
      </w:r>
    </w:p>
    <w:p w14:paraId="7035BADF" w14:textId="77777777" w:rsidR="007249FD" w:rsidRPr="007249FD" w:rsidRDefault="007249FD" w:rsidP="007249FD">
      <w:pPr>
        <w:numPr>
          <w:ilvl w:val="0"/>
          <w:numId w:val="1"/>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30 employees where 300 or more are employed.</w:t>
      </w:r>
    </w:p>
    <w:p w14:paraId="584EFB1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Acts also include an obligation to enter into consultations with the employees’ representatives (with a view to securing agreement) and to provide them with information in respect of the reasons for the redundancies, numbers affected, timescale, selection criteria, payment calculations etc.</w:t>
      </w:r>
    </w:p>
    <w:p w14:paraId="69047C59"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Notably, the Employees (Provision of Information and Consultation) Act 2006 also obliges employers (of over 50 people) to consult on changes, including collective redundancy proposals.</w:t>
      </w:r>
    </w:p>
    <w:p w14:paraId="6C2342F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One would do well to heed the Tribunal’s and the Workplace Relations Commission’s determinations in this regard, that the consultation must be real and substantial, as opposed to going through the motions or engaging in a box-ticking exercise</w:t>
      </w:r>
      <w:r w:rsidRPr="007249FD">
        <w:rPr>
          <w:rFonts w:ascii="Arial" w:eastAsia="Times New Roman" w:hAnsi="Arial" w:cs="Arial"/>
          <w:i/>
          <w:iCs/>
          <w:color w:val="333333"/>
          <w:sz w:val="21"/>
          <w:szCs w:val="21"/>
          <w:lang w:eastAsia="en-IE"/>
        </w:rPr>
        <w:t> (see UD329/97, UD1269/05, UD206/2011, (2011) 22 ELR 26 and ADJ-00021655 in 2019).</w:t>
      </w:r>
    </w:p>
    <w:p w14:paraId="1FCDC9E4"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records should also confirm adherence to the provision of appropriate notice periods, as set down under both the Redundancy Payments Act (i.e. 2 weeks) and the Minimum Notice and Terms of Employment Act (that provides for longer notice periods for longer-serving employees). It is also relevant that an employee cannot be given notice of redundancy whilst on maternity (or additional maternity) leave.</w:t>
      </w:r>
    </w:p>
    <w:p w14:paraId="34C6EB8C"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date of the relevant notice in a redundancy situation is deemed to be the employee’s expected return to work date, as notified to her employer under the maternity legislation.</w:t>
      </w:r>
    </w:p>
    <w:p w14:paraId="4E472AC8"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3: </w:t>
      </w:r>
      <w:r w:rsidRPr="007249FD">
        <w:rPr>
          <w:rFonts w:ascii="Arial" w:eastAsia="Times New Roman" w:hAnsi="Arial" w:cs="Arial"/>
          <w:b/>
          <w:bCs/>
          <w:i/>
          <w:iCs/>
          <w:color w:val="333333"/>
          <w:sz w:val="21"/>
          <w:szCs w:val="21"/>
          <w:lang w:eastAsia="en-IE"/>
        </w:rPr>
        <w:t>Take the Right Route</w:t>
      </w:r>
      <w:r w:rsidRPr="007249FD">
        <w:rPr>
          <w:rFonts w:ascii="Arial" w:eastAsia="Times New Roman" w:hAnsi="Arial" w:cs="Arial"/>
          <w:color w:val="333333"/>
          <w:sz w:val="21"/>
          <w:szCs w:val="21"/>
          <w:lang w:eastAsia="en-IE"/>
        </w:rPr>
        <w:t> - the standard routes for implementing a redundancy programme are:</w:t>
      </w:r>
    </w:p>
    <w:p w14:paraId="1B411B17"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(a) follow past </w:t>
      </w:r>
      <w:proofErr w:type="gramStart"/>
      <w:r w:rsidRPr="007249FD">
        <w:rPr>
          <w:rFonts w:ascii="Arial" w:eastAsia="Times New Roman" w:hAnsi="Arial" w:cs="Arial"/>
          <w:color w:val="333333"/>
          <w:sz w:val="21"/>
          <w:szCs w:val="21"/>
          <w:lang w:eastAsia="en-IE"/>
        </w:rPr>
        <w:t>practice;</w:t>
      </w:r>
      <w:proofErr w:type="gramEnd"/>
    </w:p>
    <w:p w14:paraId="2BB9126E"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(b) interview for the remaining jobs </w:t>
      </w:r>
      <w:proofErr w:type="gramStart"/>
      <w:r w:rsidRPr="007249FD">
        <w:rPr>
          <w:rFonts w:ascii="Arial" w:eastAsia="Times New Roman" w:hAnsi="Arial" w:cs="Arial"/>
          <w:color w:val="333333"/>
          <w:sz w:val="21"/>
          <w:szCs w:val="21"/>
          <w:lang w:eastAsia="en-IE"/>
        </w:rPr>
        <w:t>and;</w:t>
      </w:r>
      <w:proofErr w:type="gramEnd"/>
    </w:p>
    <w:p w14:paraId="7604CDF7"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(c) construct a matrix of relevant criteria for assessing the eligible employees against.</w:t>
      </w:r>
    </w:p>
    <w:p w14:paraId="315E6BE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bottom line here is that whichever route is taken, it must be objective and not purposely or unnecessarily place one or more employees at an unfair disadvantage.</w:t>
      </w:r>
    </w:p>
    <w:p w14:paraId="0E5F2BDB"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One should also consider the practice of ‘bumping’ when compiling the list of eligible employees for redundancy. ‘Bumping’ is a process whereby an employee whose role is redundant is redeployed into an alternative role, and the individual who previously undertook that role is made redundant. Case precedent indicates that ‘bumping’ is legally permissible, subject to the correct procedure being followed in respect of the bumped employee (see UD2409/2009).</w:t>
      </w:r>
    </w:p>
    <w:p w14:paraId="74223258"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lastRenderedPageBreak/>
        <w:t>Top Tip 4: </w:t>
      </w:r>
      <w:r w:rsidRPr="007249FD">
        <w:rPr>
          <w:rFonts w:ascii="Arial" w:eastAsia="Times New Roman" w:hAnsi="Arial" w:cs="Arial"/>
          <w:b/>
          <w:bCs/>
          <w:i/>
          <w:iCs/>
          <w:color w:val="333333"/>
          <w:sz w:val="21"/>
          <w:szCs w:val="21"/>
          <w:lang w:eastAsia="en-IE"/>
        </w:rPr>
        <w:t>Agree and Adhere to Past Practice</w:t>
      </w:r>
      <w:r w:rsidRPr="007249FD">
        <w:rPr>
          <w:rFonts w:ascii="Arial" w:eastAsia="Times New Roman" w:hAnsi="Arial" w:cs="Arial"/>
          <w:color w:val="333333"/>
          <w:sz w:val="21"/>
          <w:szCs w:val="21"/>
          <w:lang w:eastAsia="en-IE"/>
        </w:rPr>
        <w:t> - if there is past practice and/or an agreed procedure between the employer and the union (e.g. last-in-first-out (LIFO)) and there is no enduring reason (e.g. skill shortages) to justify a departure from it, stick to it.</w:t>
      </w:r>
    </w:p>
    <w:p w14:paraId="5EF2463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‘last-in-first-out’ (LIFO) procedure - based on commencement dates/length of service - is both objective and easy to apply.</w:t>
      </w:r>
    </w:p>
    <w:p w14:paraId="0F7D7E23"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5: </w:t>
      </w:r>
      <w:r w:rsidRPr="007249FD">
        <w:rPr>
          <w:rFonts w:ascii="Arial" w:eastAsia="Times New Roman" w:hAnsi="Arial" w:cs="Arial"/>
          <w:b/>
          <w:bCs/>
          <w:i/>
          <w:iCs/>
          <w:color w:val="333333"/>
          <w:sz w:val="21"/>
          <w:szCs w:val="21"/>
          <w:lang w:eastAsia="en-IE"/>
        </w:rPr>
        <w:t>Interview Properly </w:t>
      </w:r>
      <w:r w:rsidRPr="007249FD">
        <w:rPr>
          <w:rFonts w:ascii="Arial" w:eastAsia="Times New Roman" w:hAnsi="Arial" w:cs="Arial"/>
          <w:color w:val="333333"/>
          <w:sz w:val="21"/>
          <w:szCs w:val="21"/>
          <w:lang w:eastAsia="en-IE"/>
        </w:rPr>
        <w:t>– another route to redundancy is to invite all in the eligible pool to interview for the remaining jobs. This route may also entail appropriate tests (e.g. aptitude, psychometrics). As with standard selection interviews, it should properly evaluate the interviewees’ suitability for the remaining roles (see www.irn.ie/ article/ 23068).</w:t>
      </w:r>
    </w:p>
    <w:p w14:paraId="5C5CAE60"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In this regard it is worth recalling the Tribunal’s decision in </w:t>
      </w:r>
      <w:r w:rsidRPr="007249FD">
        <w:rPr>
          <w:rFonts w:ascii="Arial" w:eastAsia="Times New Roman" w:hAnsi="Arial" w:cs="Arial"/>
          <w:i/>
          <w:iCs/>
          <w:color w:val="333333"/>
          <w:sz w:val="21"/>
          <w:szCs w:val="21"/>
          <w:lang w:eastAsia="en-IE"/>
        </w:rPr>
        <w:t xml:space="preserve">Johnston -v- </w:t>
      </w:r>
      <w:proofErr w:type="spellStart"/>
      <w:r w:rsidRPr="007249FD">
        <w:rPr>
          <w:rFonts w:ascii="Arial" w:eastAsia="Times New Roman" w:hAnsi="Arial" w:cs="Arial"/>
          <w:i/>
          <w:iCs/>
          <w:color w:val="333333"/>
          <w:sz w:val="21"/>
          <w:szCs w:val="21"/>
          <w:lang w:eastAsia="en-IE"/>
        </w:rPr>
        <w:t>Floorwise</w:t>
      </w:r>
      <w:proofErr w:type="spellEnd"/>
      <w:r w:rsidRPr="007249FD">
        <w:rPr>
          <w:rFonts w:ascii="Arial" w:eastAsia="Times New Roman" w:hAnsi="Arial" w:cs="Arial"/>
          <w:color w:val="333333"/>
          <w:sz w:val="21"/>
          <w:szCs w:val="21"/>
          <w:lang w:eastAsia="en-IE"/>
        </w:rPr>
        <w:t xml:space="preserve"> (UD 1826/2010), where the employee was selected for redundancy </w:t>
      </w:r>
      <w:proofErr w:type="gramStart"/>
      <w:r w:rsidRPr="007249FD">
        <w:rPr>
          <w:rFonts w:ascii="Arial" w:eastAsia="Times New Roman" w:hAnsi="Arial" w:cs="Arial"/>
          <w:color w:val="333333"/>
          <w:sz w:val="21"/>
          <w:szCs w:val="21"/>
          <w:lang w:eastAsia="en-IE"/>
        </w:rPr>
        <w:t>on the basis of</w:t>
      </w:r>
      <w:proofErr w:type="gramEnd"/>
      <w:r w:rsidRPr="007249FD">
        <w:rPr>
          <w:rFonts w:ascii="Arial" w:eastAsia="Times New Roman" w:hAnsi="Arial" w:cs="Arial"/>
          <w:color w:val="333333"/>
          <w:sz w:val="21"/>
          <w:szCs w:val="21"/>
          <w:lang w:eastAsia="en-IE"/>
        </w:rPr>
        <w:t xml:space="preserve"> a behavioural and competency-based interview process.</w:t>
      </w:r>
    </w:p>
    <w:p w14:paraId="6A9A7269"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In this case the Tribunal determined that ‘objective selection criteria are needed to carry out a proper redundancy procedure. There is no evidence that such a procedure was carried out in this case. The purpose of those interviews with the sales team, including the claimant was unclear and lacked focus’.</w:t>
      </w:r>
    </w:p>
    <w:p w14:paraId="422428AB"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Hence, it was held that the claimant was unfairly dismissed </w:t>
      </w:r>
      <w:proofErr w:type="gramStart"/>
      <w:r w:rsidRPr="007249FD">
        <w:rPr>
          <w:rFonts w:ascii="Arial" w:eastAsia="Times New Roman" w:hAnsi="Arial" w:cs="Arial"/>
          <w:color w:val="333333"/>
          <w:sz w:val="21"/>
          <w:szCs w:val="21"/>
          <w:lang w:eastAsia="en-IE"/>
        </w:rPr>
        <w:t>on the basis of</w:t>
      </w:r>
      <w:proofErr w:type="gramEnd"/>
      <w:r w:rsidRPr="007249FD">
        <w:rPr>
          <w:rFonts w:ascii="Arial" w:eastAsia="Times New Roman" w:hAnsi="Arial" w:cs="Arial"/>
          <w:color w:val="333333"/>
          <w:sz w:val="21"/>
          <w:szCs w:val="21"/>
          <w:lang w:eastAsia="en-IE"/>
        </w:rPr>
        <w:t xml:space="preserve"> unfair selection for redundancy and was awarded €31,000 in damages.</w:t>
      </w:r>
    </w:p>
    <w:p w14:paraId="00391200"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6: </w:t>
      </w:r>
      <w:r w:rsidRPr="007249FD">
        <w:rPr>
          <w:rFonts w:ascii="Arial" w:eastAsia="Times New Roman" w:hAnsi="Arial" w:cs="Arial"/>
          <w:b/>
          <w:bCs/>
          <w:i/>
          <w:iCs/>
          <w:color w:val="333333"/>
          <w:sz w:val="21"/>
          <w:szCs w:val="21"/>
          <w:lang w:eastAsia="en-IE"/>
        </w:rPr>
        <w:t xml:space="preserve">Construct a ‘Fit </w:t>
      </w:r>
      <w:proofErr w:type="gramStart"/>
      <w:r w:rsidRPr="007249FD">
        <w:rPr>
          <w:rFonts w:ascii="Arial" w:eastAsia="Times New Roman" w:hAnsi="Arial" w:cs="Arial"/>
          <w:b/>
          <w:bCs/>
          <w:i/>
          <w:iCs/>
          <w:color w:val="333333"/>
          <w:sz w:val="21"/>
          <w:szCs w:val="21"/>
          <w:lang w:eastAsia="en-IE"/>
        </w:rPr>
        <w:t>For</w:t>
      </w:r>
      <w:proofErr w:type="gramEnd"/>
      <w:r w:rsidRPr="007249FD">
        <w:rPr>
          <w:rFonts w:ascii="Arial" w:eastAsia="Times New Roman" w:hAnsi="Arial" w:cs="Arial"/>
          <w:b/>
          <w:bCs/>
          <w:i/>
          <w:iCs/>
          <w:color w:val="333333"/>
          <w:sz w:val="21"/>
          <w:szCs w:val="21"/>
          <w:lang w:eastAsia="en-IE"/>
        </w:rPr>
        <w:t xml:space="preserve"> Purpose’ Matrix</w:t>
      </w:r>
      <w:r w:rsidRPr="007249FD">
        <w:rPr>
          <w:rFonts w:ascii="Arial" w:eastAsia="Times New Roman" w:hAnsi="Arial" w:cs="Arial"/>
          <w:color w:val="333333"/>
          <w:sz w:val="21"/>
          <w:szCs w:val="21"/>
          <w:lang w:eastAsia="en-IE"/>
        </w:rPr>
        <w:t> - should the ‘past practice’ and ‘interview’ routes to redundancy be rejected, the use of a ‘selection matrix’ remains an option.</w:t>
      </w:r>
    </w:p>
    <w:p w14:paraId="2874305D"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This is a method whereby one lists the skills/criteria needed to allow the business to continue as a going concern and each employee is then assessed vis-a-vis these skills/criteria. Such matrices normally comprise a range of relevant criteria, enabling differentiation between employees.</w:t>
      </w:r>
    </w:p>
    <w:p w14:paraId="0C7039A1"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Criteria commonly chosen include qualifications, training, skills/competencies, relevant experience, client relationships, capacity to generate income and performance history/track record. To reflect their relative importance, one may give different weights to each criterion. Having scored the employees in the redundancy pool against the criteria, those with the lowest scores are selected for redundancy.</w:t>
      </w:r>
    </w:p>
    <w:p w14:paraId="485F8F2F"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bottom line here is that the matrix must enable assessments against objective and consistent criteria vis-a-vis the employer’s future needs. So, caution should be exercised to avoid a Labour Court finding that the matrix was: ‘complex, opaque, subjective and open to manipulation in order to achieve a particular result’ (EDA095).</w:t>
      </w:r>
    </w:p>
    <w:p w14:paraId="1504D2AC"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That is, the criteria chosen – and one may apply different criteria to different work areas - and the scores awarded, should be capable of substantiation </w:t>
      </w:r>
      <w:proofErr w:type="gramStart"/>
      <w:r w:rsidRPr="007249FD">
        <w:rPr>
          <w:rFonts w:ascii="Arial" w:eastAsia="Times New Roman" w:hAnsi="Arial" w:cs="Arial"/>
          <w:color w:val="333333"/>
          <w:sz w:val="21"/>
          <w:szCs w:val="21"/>
          <w:lang w:eastAsia="en-IE"/>
        </w:rPr>
        <w:t>on the basis of</w:t>
      </w:r>
      <w:proofErr w:type="gramEnd"/>
      <w:r w:rsidRPr="007249FD">
        <w:rPr>
          <w:rFonts w:ascii="Arial" w:eastAsia="Times New Roman" w:hAnsi="Arial" w:cs="Arial"/>
          <w:color w:val="333333"/>
          <w:sz w:val="21"/>
          <w:szCs w:val="21"/>
          <w:lang w:eastAsia="en-IE"/>
        </w:rPr>
        <w:t xml:space="preserve"> objective data. On the need to substantiate scores, as an example, if ‘performance’ is used as a criterion, scores from performance reviews/appraisals may be used where they have been conducted consistently across all employees in the affected pool, are not under appeal and are based upon objective measures. It is also appropriate to apply a reasonable time frame over which this performance is assessed, with a longer time frame likely to yield a more representative or accurate assessment. To summarise, if deploying a ‘redundancy matrix’, one should be able to:</w:t>
      </w:r>
    </w:p>
    <w:p w14:paraId="7512C6BB" w14:textId="77777777" w:rsidR="007249FD" w:rsidRPr="007249FD" w:rsidRDefault="007249FD" w:rsidP="007249FD">
      <w:pPr>
        <w:numPr>
          <w:ilvl w:val="0"/>
          <w:numId w:val="2"/>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lastRenderedPageBreak/>
        <w:t>Justify the selection, weighting and application of the criteria and the scoring system used.</w:t>
      </w:r>
    </w:p>
    <w:p w14:paraId="6C5EE140" w14:textId="77777777" w:rsidR="007249FD" w:rsidRPr="007249FD" w:rsidRDefault="007249FD" w:rsidP="007249FD">
      <w:pPr>
        <w:numPr>
          <w:ilvl w:val="0"/>
          <w:numId w:val="2"/>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Substantiate the scores awarded.</w:t>
      </w:r>
    </w:p>
    <w:p w14:paraId="0EF4550E" w14:textId="77777777" w:rsidR="007249FD" w:rsidRPr="007249FD" w:rsidRDefault="007249FD" w:rsidP="007249FD">
      <w:pPr>
        <w:numPr>
          <w:ilvl w:val="0"/>
          <w:numId w:val="2"/>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Minimise subjectivity in the assessment process, via usage of more than one assessor.</w:t>
      </w:r>
    </w:p>
    <w:p w14:paraId="4E6FB6DA" w14:textId="77777777" w:rsidR="007249FD" w:rsidRPr="007249FD" w:rsidRDefault="007249FD" w:rsidP="007249FD">
      <w:pPr>
        <w:numPr>
          <w:ilvl w:val="0"/>
          <w:numId w:val="2"/>
        </w:numPr>
        <w:shd w:val="clear" w:color="auto" w:fill="F8F8F8"/>
        <w:spacing w:after="60" w:line="336" w:lineRule="atLeast"/>
        <w:ind w:left="495"/>
        <w:rPr>
          <w:rFonts w:ascii="Arial" w:eastAsia="Times New Roman" w:hAnsi="Arial" w:cs="Arial"/>
          <w:color w:val="020202"/>
          <w:sz w:val="21"/>
          <w:szCs w:val="21"/>
          <w:lang w:eastAsia="en-IE"/>
        </w:rPr>
      </w:pPr>
      <w:r w:rsidRPr="007249FD">
        <w:rPr>
          <w:rFonts w:ascii="Arial" w:eastAsia="Times New Roman" w:hAnsi="Arial" w:cs="Arial"/>
          <w:color w:val="020202"/>
          <w:sz w:val="21"/>
          <w:szCs w:val="21"/>
          <w:lang w:eastAsia="en-IE"/>
        </w:rPr>
        <w:t>Apply moderation methods to eliminate inappropriate anomalies (e.g. persistent assessor leniency or severity).</w:t>
      </w:r>
    </w:p>
    <w:p w14:paraId="2EC6AEF3"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7: </w:t>
      </w:r>
      <w:r w:rsidRPr="007249FD">
        <w:rPr>
          <w:rFonts w:ascii="Arial" w:eastAsia="Times New Roman" w:hAnsi="Arial" w:cs="Arial"/>
          <w:b/>
          <w:bCs/>
          <w:i/>
          <w:iCs/>
          <w:color w:val="333333"/>
          <w:sz w:val="21"/>
          <w:szCs w:val="21"/>
          <w:lang w:eastAsia="en-IE"/>
        </w:rPr>
        <w:t>Keep Employees in the Picture </w:t>
      </w:r>
      <w:r w:rsidRPr="007249FD">
        <w:rPr>
          <w:rFonts w:ascii="Arial" w:eastAsia="Times New Roman" w:hAnsi="Arial" w:cs="Arial"/>
          <w:color w:val="333333"/>
          <w:sz w:val="21"/>
          <w:szCs w:val="21"/>
          <w:lang w:eastAsia="en-IE"/>
        </w:rPr>
        <w:t>- before finalising a ‘selection matrix’, employers should consult with the employees or their representatives.</w:t>
      </w:r>
    </w:p>
    <w:p w14:paraId="17326D62"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That is, the affected employees should be made aware of the criteria to be applied prior to the redundancy process commencing. Furthermore, they should be extended an opportunity to comment on them, on how they have been applied, to review the scores and to influence their revision where there is objective data for doing so.</w:t>
      </w:r>
    </w:p>
    <w:p w14:paraId="049AF88F"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For example, unbeknownst to the employer, an employee may have relevant experience, skills or qualifications that should have been included for assessment purposes. Should approval (of the criteria, their weighting and the end scores) be secured, it will leave the employer in a much stronger position to defend decisions before a third party.</w:t>
      </w:r>
    </w:p>
    <w:p w14:paraId="483E4304"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8: </w:t>
      </w:r>
      <w:r w:rsidRPr="007249FD">
        <w:rPr>
          <w:rFonts w:ascii="Arial" w:eastAsia="Times New Roman" w:hAnsi="Arial" w:cs="Arial"/>
          <w:b/>
          <w:bCs/>
          <w:i/>
          <w:iCs/>
          <w:color w:val="333333"/>
          <w:sz w:val="21"/>
          <w:szCs w:val="21"/>
          <w:lang w:eastAsia="en-IE"/>
        </w:rPr>
        <w:t>Right to Representation and Appeal</w:t>
      </w:r>
      <w:r w:rsidRPr="007249FD">
        <w:rPr>
          <w:rFonts w:ascii="Arial" w:eastAsia="Times New Roman" w:hAnsi="Arial" w:cs="Arial"/>
          <w:color w:val="333333"/>
          <w:sz w:val="21"/>
          <w:szCs w:val="21"/>
          <w:lang w:eastAsia="en-IE"/>
        </w:rPr>
        <w:t> - provide for a right to representation and appeal against a decision to select an employee for redundancy.</w:t>
      </w:r>
    </w:p>
    <w:p w14:paraId="179DCBB8"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By extending the right to representation, one can avoid a determination like that issued in the claimant’s favour by the EAT in a redundancy scenario in 2014, when it concluded: ‘she was not offered the opportunity of having representation at the aforementioned meeting and at the follow-up meeting … There were no written notes or memos of the said meetings’ (UD143/2014).</w:t>
      </w:r>
    </w:p>
    <w:p w14:paraId="1B9D0E77"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9: </w:t>
      </w:r>
      <w:r w:rsidRPr="007249FD">
        <w:rPr>
          <w:rFonts w:ascii="Arial" w:eastAsia="Times New Roman" w:hAnsi="Arial" w:cs="Arial"/>
          <w:b/>
          <w:bCs/>
          <w:i/>
          <w:iCs/>
          <w:color w:val="333333"/>
          <w:sz w:val="21"/>
          <w:szCs w:val="21"/>
          <w:lang w:eastAsia="en-IE"/>
        </w:rPr>
        <w:t>Keep It ‘Impersonal’ and Don’t Discriminate </w:t>
      </w:r>
      <w:r w:rsidRPr="007249FD">
        <w:rPr>
          <w:rFonts w:ascii="Arial" w:eastAsia="Times New Roman" w:hAnsi="Arial" w:cs="Arial"/>
          <w:color w:val="333333"/>
          <w:sz w:val="21"/>
          <w:szCs w:val="21"/>
          <w:lang w:eastAsia="en-IE"/>
        </w:rPr>
        <w:t>- case law confirms that the definition of ‘redundancy’ has two important characteristics: (</w:t>
      </w:r>
      <w:proofErr w:type="spellStart"/>
      <w:r w:rsidRPr="007249FD">
        <w:rPr>
          <w:rFonts w:ascii="Arial" w:eastAsia="Times New Roman" w:hAnsi="Arial" w:cs="Arial"/>
          <w:color w:val="333333"/>
          <w:sz w:val="21"/>
          <w:szCs w:val="21"/>
          <w:lang w:eastAsia="en-IE"/>
        </w:rPr>
        <w:t>i</w:t>
      </w:r>
      <w:proofErr w:type="spellEnd"/>
      <w:r w:rsidRPr="007249FD">
        <w:rPr>
          <w:rFonts w:ascii="Arial" w:eastAsia="Times New Roman" w:hAnsi="Arial" w:cs="Arial"/>
          <w:color w:val="333333"/>
          <w:sz w:val="21"/>
          <w:szCs w:val="21"/>
          <w:lang w:eastAsia="en-IE"/>
        </w:rPr>
        <w:t>) ‘change’ and (ii) impersonality.</w:t>
      </w:r>
    </w:p>
    <w:p w14:paraId="73409CAE"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With (</w:t>
      </w:r>
      <w:proofErr w:type="spellStart"/>
      <w:r w:rsidRPr="007249FD">
        <w:rPr>
          <w:rFonts w:ascii="Arial" w:eastAsia="Times New Roman" w:hAnsi="Arial" w:cs="Arial"/>
          <w:color w:val="333333"/>
          <w:sz w:val="21"/>
          <w:szCs w:val="21"/>
          <w:lang w:eastAsia="en-IE"/>
        </w:rPr>
        <w:t>i</w:t>
      </w:r>
      <w:proofErr w:type="spellEnd"/>
      <w:r w:rsidRPr="007249FD">
        <w:rPr>
          <w:rFonts w:ascii="Arial" w:eastAsia="Times New Roman" w:hAnsi="Arial" w:cs="Arial"/>
          <w:color w:val="333333"/>
          <w:sz w:val="21"/>
          <w:szCs w:val="21"/>
          <w:lang w:eastAsia="en-IE"/>
        </w:rPr>
        <w:t>) ‘change’, a reduction in employee numbers is required and Covid-19’s impact should serve to meet this requirement.</w:t>
      </w:r>
    </w:p>
    <w:p w14:paraId="10C7BAEC"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 xml:space="preserve">With (ii) impersonality, the focus is on the role rather than the employee, as the redundancy impacts on the job, and only </w:t>
      </w:r>
      <w:proofErr w:type="gramStart"/>
      <w:r w:rsidRPr="007249FD">
        <w:rPr>
          <w:rFonts w:ascii="Arial" w:eastAsia="Times New Roman" w:hAnsi="Arial" w:cs="Arial"/>
          <w:color w:val="333333"/>
          <w:sz w:val="21"/>
          <w:szCs w:val="21"/>
          <w:lang w:eastAsia="en-IE"/>
        </w:rPr>
        <w:t>as a consequence of</w:t>
      </w:r>
      <w:proofErr w:type="gramEnd"/>
      <w:r w:rsidRPr="007249FD">
        <w:rPr>
          <w:rFonts w:ascii="Arial" w:eastAsia="Times New Roman" w:hAnsi="Arial" w:cs="Arial"/>
          <w:color w:val="333333"/>
          <w:sz w:val="21"/>
          <w:szCs w:val="21"/>
          <w:lang w:eastAsia="en-IE"/>
        </w:rPr>
        <w:t xml:space="preserve"> the redundancy does the person involved lose their job.</w:t>
      </w:r>
    </w:p>
    <w:p w14:paraId="595A9F03"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As outlined above, careful consideration is required to ensure that this ‘impersonality’ requirement is met</w:t>
      </w:r>
      <w:r w:rsidRPr="007249FD">
        <w:rPr>
          <w:rFonts w:ascii="Arial" w:eastAsia="Times New Roman" w:hAnsi="Arial" w:cs="Arial"/>
          <w:i/>
          <w:iCs/>
          <w:color w:val="333333"/>
          <w:sz w:val="21"/>
          <w:szCs w:val="21"/>
          <w:lang w:eastAsia="en-IE"/>
        </w:rPr>
        <w:t> (see St. Ledger v Frontline Distributors Ireland Ltd. [1995] E.L.R. 160)</w:t>
      </w:r>
      <w:r w:rsidRPr="007249FD">
        <w:rPr>
          <w:rFonts w:ascii="Arial" w:eastAsia="Times New Roman" w:hAnsi="Arial" w:cs="Arial"/>
          <w:color w:val="333333"/>
          <w:sz w:val="21"/>
          <w:szCs w:val="21"/>
          <w:lang w:eastAsia="en-IE"/>
        </w:rPr>
        <w:t>. For example, if availing of the interview or the selection matrix option, care must be exercised where employees have been absent from work on maternity leave or for a disability-related reason.</w:t>
      </w:r>
    </w:p>
    <w:p w14:paraId="04932789"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Absence on maternity leave, pregnancy-related absence and disability-related absence should be discounted in redundancy selection scenarios. If absenteeism is being considered, one option is to give multiple short-term absences a different weighting than a single longer-term absence period, thus reducing the disadvantage to an employee who has been absent recovering from surgery.</w:t>
      </w:r>
    </w:p>
    <w:p w14:paraId="1C606666"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color w:val="333333"/>
          <w:sz w:val="21"/>
          <w:szCs w:val="21"/>
          <w:lang w:eastAsia="en-IE"/>
        </w:rPr>
        <w:t>Top Tip 10: </w:t>
      </w:r>
      <w:r w:rsidRPr="007249FD">
        <w:rPr>
          <w:rFonts w:ascii="Arial" w:eastAsia="Times New Roman" w:hAnsi="Arial" w:cs="Arial"/>
          <w:b/>
          <w:bCs/>
          <w:i/>
          <w:iCs/>
          <w:color w:val="333333"/>
          <w:sz w:val="21"/>
          <w:szCs w:val="21"/>
          <w:lang w:eastAsia="en-IE"/>
        </w:rPr>
        <w:t>Be ‘Reasonable’ </w:t>
      </w:r>
      <w:r w:rsidRPr="007249FD">
        <w:rPr>
          <w:rFonts w:ascii="Arial" w:eastAsia="Times New Roman" w:hAnsi="Arial" w:cs="Arial"/>
          <w:color w:val="333333"/>
          <w:sz w:val="21"/>
          <w:szCs w:val="21"/>
          <w:lang w:eastAsia="en-IE"/>
        </w:rPr>
        <w:t>- the Unfair Dismissals (Amendment) Act, 1993, holds that if the employer’s conduct is unreasonable, they may be liable for an unfair dismissal.</w:t>
      </w:r>
    </w:p>
    <w:p w14:paraId="3945104D" w14:textId="77777777" w:rsidR="007249FD" w:rsidRPr="007249FD" w:rsidRDefault="007249FD" w:rsidP="007249FD">
      <w:pPr>
        <w:shd w:val="clear" w:color="auto" w:fill="F8F8F8"/>
        <w:spacing w:before="300" w:after="150" w:line="312" w:lineRule="atLeast"/>
        <w:outlineLvl w:val="3"/>
        <w:rPr>
          <w:rFonts w:ascii="Arial" w:eastAsia="Times New Roman" w:hAnsi="Arial" w:cs="Arial"/>
          <w:b/>
          <w:bCs/>
          <w:caps/>
          <w:color w:val="00205A"/>
          <w:sz w:val="24"/>
          <w:szCs w:val="24"/>
          <w:lang w:eastAsia="en-IE"/>
        </w:rPr>
      </w:pPr>
      <w:r w:rsidRPr="007249FD">
        <w:rPr>
          <w:rFonts w:ascii="Arial" w:eastAsia="Times New Roman" w:hAnsi="Arial" w:cs="Arial"/>
          <w:b/>
          <w:bCs/>
          <w:caps/>
          <w:color w:val="00205A"/>
          <w:sz w:val="24"/>
          <w:szCs w:val="24"/>
          <w:lang w:eastAsia="en-IE"/>
        </w:rPr>
        <w:lastRenderedPageBreak/>
        <w:t>RESIST TEMPTATION</w:t>
      </w:r>
    </w:p>
    <w:p w14:paraId="298F2B1F"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The proper application of these ‘Top Tips’ will enable one to confirm such ‘reasonableness’ and to show that decisions weren’t linked to trade union membership/activity, religion, whistleblowing, civil or criminal proceedings being taken against the employer, race, sexual orientation, age, membership of the travelling community, pregnancy, gender and family or marital/civil status.</w:t>
      </w:r>
    </w:p>
    <w:p w14:paraId="7476133C"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In conclusion, the temptation to ‘never waste a good crisis’ in a recessionary -dominated economic climate should be resisted. That is, using current circumstances to get rid of a troublesome employee may rebound in an adversarial third-party forum, with heavy (legal) hitters calling into question the process used.</w:t>
      </w:r>
    </w:p>
    <w:p w14:paraId="70CCCFDE"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color w:val="333333"/>
          <w:sz w:val="21"/>
          <w:szCs w:val="21"/>
          <w:lang w:eastAsia="en-IE"/>
        </w:rPr>
        <w:t>In tandem with these tips, being able to show that the redundancy process was procedurally proper and arose for a legitimate reason to do with the job as opposed to the person doing the job, will be a huge help.</w:t>
      </w:r>
    </w:p>
    <w:p w14:paraId="7C4F6737" w14:textId="77777777" w:rsidR="007249FD" w:rsidRPr="007249FD" w:rsidRDefault="007249FD" w:rsidP="007249FD">
      <w:pPr>
        <w:shd w:val="clear" w:color="auto" w:fill="F8F8F8"/>
        <w:spacing w:after="375" w:line="240" w:lineRule="auto"/>
        <w:rPr>
          <w:rFonts w:ascii="Arial" w:eastAsia="Times New Roman" w:hAnsi="Arial" w:cs="Arial"/>
          <w:color w:val="333333"/>
          <w:sz w:val="21"/>
          <w:szCs w:val="21"/>
          <w:lang w:eastAsia="en-IE"/>
        </w:rPr>
      </w:pPr>
      <w:r w:rsidRPr="007249FD">
        <w:rPr>
          <w:rFonts w:ascii="Arial" w:eastAsia="Times New Roman" w:hAnsi="Arial" w:cs="Arial"/>
          <w:b/>
          <w:bCs/>
          <w:i/>
          <w:iCs/>
          <w:color w:val="333333"/>
          <w:sz w:val="21"/>
          <w:szCs w:val="21"/>
          <w:lang w:eastAsia="en-IE"/>
        </w:rPr>
        <w:t xml:space="preserve">Dr Gerry McMahon </w:t>
      </w:r>
      <w:proofErr w:type="spellStart"/>
      <w:r w:rsidRPr="007249FD">
        <w:rPr>
          <w:rFonts w:ascii="Arial" w:eastAsia="Times New Roman" w:hAnsi="Arial" w:cs="Arial"/>
          <w:b/>
          <w:bCs/>
          <w:i/>
          <w:iCs/>
          <w:color w:val="333333"/>
          <w:sz w:val="21"/>
          <w:szCs w:val="21"/>
          <w:lang w:eastAsia="en-IE"/>
        </w:rPr>
        <w:t>B.Comm</w:t>
      </w:r>
      <w:proofErr w:type="spellEnd"/>
      <w:r w:rsidRPr="007249FD">
        <w:rPr>
          <w:rFonts w:ascii="Arial" w:eastAsia="Times New Roman" w:hAnsi="Arial" w:cs="Arial"/>
          <w:b/>
          <w:bCs/>
          <w:i/>
          <w:iCs/>
          <w:color w:val="333333"/>
          <w:sz w:val="21"/>
          <w:szCs w:val="21"/>
          <w:lang w:eastAsia="en-IE"/>
        </w:rPr>
        <w:t>. M.B.S. M.Phil. (Labour Law) is M.D. at Productive Personnel Ltd., a H.R. consultancy and training company, and a WRC Adjudicator.</w:t>
      </w:r>
    </w:p>
    <w:p w14:paraId="387A4997" w14:textId="77777777" w:rsidR="007A317F" w:rsidRDefault="007A317F"/>
    <w:sectPr w:rsidR="007A31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27B29"/>
    <w:multiLevelType w:val="multilevel"/>
    <w:tmpl w:val="4810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8448C5"/>
    <w:multiLevelType w:val="multilevel"/>
    <w:tmpl w:val="F240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060745">
    <w:abstractNumId w:val="0"/>
  </w:num>
  <w:num w:numId="2" w16cid:durableId="13196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FD"/>
    <w:rsid w:val="00310F75"/>
    <w:rsid w:val="0048108C"/>
    <w:rsid w:val="007249FD"/>
    <w:rsid w:val="007A317F"/>
    <w:rsid w:val="00B107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3F57"/>
  <w15:chartTrackingRefBased/>
  <w15:docId w15:val="{E9D4980D-0131-47E5-9211-444346D4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85459">
      <w:bodyDiv w:val="1"/>
      <w:marLeft w:val="0"/>
      <w:marRight w:val="0"/>
      <w:marTop w:val="0"/>
      <w:marBottom w:val="0"/>
      <w:divBdr>
        <w:top w:val="none" w:sz="0" w:space="0" w:color="auto"/>
        <w:left w:val="none" w:sz="0" w:space="0" w:color="auto"/>
        <w:bottom w:val="none" w:sz="0" w:space="0" w:color="auto"/>
        <w:right w:val="none" w:sz="0" w:space="0" w:color="auto"/>
      </w:divBdr>
      <w:divsChild>
        <w:div w:id="1383024152">
          <w:marLeft w:val="0"/>
          <w:marRight w:val="0"/>
          <w:marTop w:val="0"/>
          <w:marBottom w:val="0"/>
          <w:divBdr>
            <w:top w:val="none" w:sz="0" w:space="0" w:color="auto"/>
            <w:left w:val="none" w:sz="0" w:space="0" w:color="auto"/>
            <w:bottom w:val="none" w:sz="0" w:space="0" w:color="auto"/>
            <w:right w:val="none" w:sz="0" w:space="0" w:color="auto"/>
          </w:divBdr>
          <w:divsChild>
            <w:div w:id="1104770071">
              <w:marLeft w:val="-225"/>
              <w:marRight w:val="-225"/>
              <w:marTop w:val="0"/>
              <w:marBottom w:val="0"/>
              <w:divBdr>
                <w:top w:val="none" w:sz="0" w:space="0" w:color="auto"/>
                <w:left w:val="none" w:sz="0" w:space="0" w:color="auto"/>
                <w:bottom w:val="none" w:sz="0" w:space="0" w:color="auto"/>
                <w:right w:val="none" w:sz="0" w:space="0" w:color="auto"/>
              </w:divBdr>
              <w:divsChild>
                <w:div w:id="27193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9995">
          <w:marLeft w:val="0"/>
          <w:marRight w:val="0"/>
          <w:marTop w:val="0"/>
          <w:marBottom w:val="0"/>
          <w:divBdr>
            <w:top w:val="none" w:sz="0" w:space="0" w:color="auto"/>
            <w:left w:val="none" w:sz="0" w:space="0" w:color="auto"/>
            <w:bottom w:val="none" w:sz="0" w:space="0" w:color="auto"/>
            <w:right w:val="none" w:sz="0" w:space="0" w:color="auto"/>
          </w:divBdr>
          <w:divsChild>
            <w:div w:id="1530751454">
              <w:marLeft w:val="-225"/>
              <w:marRight w:val="-225"/>
              <w:marTop w:val="0"/>
              <w:marBottom w:val="0"/>
              <w:divBdr>
                <w:top w:val="none" w:sz="0" w:space="0" w:color="auto"/>
                <w:left w:val="none" w:sz="0" w:space="0" w:color="auto"/>
                <w:bottom w:val="none" w:sz="0" w:space="0" w:color="auto"/>
                <w:right w:val="none" w:sz="0" w:space="0" w:color="auto"/>
              </w:divBdr>
              <w:divsChild>
                <w:div w:id="577403001">
                  <w:marLeft w:val="0"/>
                  <w:marRight w:val="0"/>
                  <w:marTop w:val="0"/>
                  <w:marBottom w:val="0"/>
                  <w:divBdr>
                    <w:top w:val="none" w:sz="0" w:space="0" w:color="auto"/>
                    <w:left w:val="none" w:sz="0" w:space="0" w:color="auto"/>
                    <w:bottom w:val="none" w:sz="0" w:space="0" w:color="auto"/>
                    <w:right w:val="none" w:sz="0" w:space="0" w:color="auto"/>
                  </w:divBdr>
                  <w:divsChild>
                    <w:div w:id="647855138">
                      <w:marLeft w:val="0"/>
                      <w:marRight w:val="0"/>
                      <w:marTop w:val="600"/>
                      <w:marBottom w:val="0"/>
                      <w:divBdr>
                        <w:top w:val="none" w:sz="0" w:space="0" w:color="auto"/>
                        <w:left w:val="none" w:sz="0" w:space="0" w:color="auto"/>
                        <w:bottom w:val="none" w:sz="0" w:space="0" w:color="auto"/>
                        <w:right w:val="none" w:sz="0" w:space="0" w:color="auto"/>
                      </w:divBdr>
                    </w:div>
                    <w:div w:id="1448349017">
                      <w:marLeft w:val="0"/>
                      <w:marRight w:val="0"/>
                      <w:marTop w:val="0"/>
                      <w:marBottom w:val="0"/>
                      <w:divBdr>
                        <w:top w:val="none" w:sz="0" w:space="0" w:color="auto"/>
                        <w:left w:val="none" w:sz="0" w:space="0" w:color="auto"/>
                        <w:bottom w:val="none" w:sz="0" w:space="0" w:color="auto"/>
                        <w:right w:val="none" w:sz="0" w:space="0" w:color="auto"/>
                      </w:divBdr>
                      <w:divsChild>
                        <w:div w:id="1682509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1911</Words>
  <Characters>10896</Characters>
  <Application>Microsoft Office Word</Application>
  <DocSecurity>0</DocSecurity>
  <Lines>90</Lines>
  <Paragraphs>25</Paragraphs>
  <ScaleCrop>false</ScaleCrop>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Phillips</dc:creator>
  <cp:keywords/>
  <dc:description/>
  <cp:lastModifiedBy>Roisin Boyle</cp:lastModifiedBy>
  <cp:revision>2</cp:revision>
  <dcterms:created xsi:type="dcterms:W3CDTF">2025-09-25T12:12:00Z</dcterms:created>
  <dcterms:modified xsi:type="dcterms:W3CDTF">2025-09-25T12:12:00Z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07fdd-18d3-4dbe-9af5-11ecd8aefe73_Enabled">
    <vt:lpwstr>true</vt:lpwstr>
  </property>
  <property fmtid="{D5CDD505-2E9C-101B-9397-08002B2CF9AE}" pid="3" name="MSIP_Label_b7407fdd-18d3-4dbe-9af5-11ecd8aefe73_SetDate">
    <vt:lpwstr>2025-09-25T12:12:07Z</vt:lpwstr>
  </property>
  <property fmtid="{D5CDD505-2E9C-101B-9397-08002B2CF9AE}" pid="4" name="MSIP_Label_b7407fdd-18d3-4dbe-9af5-11ecd8aefe73_Method">
    <vt:lpwstr>Privileged</vt:lpwstr>
  </property>
  <property fmtid="{D5CDD505-2E9C-101B-9397-08002B2CF9AE}" pid="5" name="MSIP_Label_b7407fdd-18d3-4dbe-9af5-11ecd8aefe73_Name">
    <vt:lpwstr>SIPTU - Confidential</vt:lpwstr>
  </property>
  <property fmtid="{D5CDD505-2E9C-101B-9397-08002B2CF9AE}" pid="6" name="MSIP_Label_b7407fdd-18d3-4dbe-9af5-11ecd8aefe73_SiteId">
    <vt:lpwstr>b47628df-374d-4176-b661-a9858753cbac</vt:lpwstr>
  </property>
  <property fmtid="{D5CDD505-2E9C-101B-9397-08002B2CF9AE}" pid="7" name="MSIP_Label_b7407fdd-18d3-4dbe-9af5-11ecd8aefe73_ActionId">
    <vt:lpwstr>ca3418ca-2e7f-4838-9ee6-4666f3b9e5ab</vt:lpwstr>
  </property>
  <property fmtid="{D5CDD505-2E9C-101B-9397-08002B2CF9AE}" pid="8" name="MSIP_Label_b7407fdd-18d3-4dbe-9af5-11ecd8aefe73_ContentBits">
    <vt:lpwstr>0</vt:lpwstr>
  </property>
  <property fmtid="{D5CDD505-2E9C-101B-9397-08002B2CF9AE}" pid="9" name="MSIP_Label_b7407fdd-18d3-4dbe-9af5-11ecd8aefe73_Tag">
    <vt:lpwstr>10, 0, 1, 1</vt:lpwstr>
  </property>
</Properties>
</file>