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E2C3" w14:textId="77777777" w:rsidR="00DD666F" w:rsidRPr="00DD666F" w:rsidRDefault="00DD666F" w:rsidP="00DD666F">
      <w:pPr>
        <w:shd w:val="clear" w:color="auto" w:fill="F8F8F8"/>
        <w:spacing w:after="225" w:line="288" w:lineRule="atLeast"/>
        <w:outlineLvl w:val="0"/>
        <w:rPr>
          <w:rFonts w:ascii="inherit" w:eastAsia="Times New Roman" w:hAnsi="inherit" w:cs="Open Sans"/>
          <w:color w:val="020202"/>
          <w:kern w:val="36"/>
          <w:sz w:val="42"/>
          <w:szCs w:val="42"/>
          <w:lang w:eastAsia="en-IE"/>
        </w:rPr>
      </w:pPr>
      <w:r w:rsidRPr="00DD666F">
        <w:rPr>
          <w:rFonts w:ascii="inherit" w:eastAsia="Times New Roman" w:hAnsi="inherit" w:cs="Open Sans"/>
          <w:b/>
          <w:bCs/>
          <w:color w:val="020202"/>
          <w:kern w:val="36"/>
          <w:sz w:val="21"/>
          <w:szCs w:val="21"/>
          <w:lang w:eastAsia="en-IE"/>
        </w:rPr>
        <w:t>NEWS</w:t>
      </w:r>
      <w:r w:rsidRPr="00DD666F">
        <w:rPr>
          <w:rFonts w:ascii="inherit" w:eastAsia="Times New Roman" w:hAnsi="inherit" w:cs="Open Sans"/>
          <w:color w:val="020202"/>
          <w:kern w:val="36"/>
          <w:sz w:val="21"/>
          <w:szCs w:val="21"/>
          <w:lang w:eastAsia="en-IE"/>
        </w:rPr>
        <w:t> - IRN 17 - 07/05/2014</w:t>
      </w:r>
    </w:p>
    <w:p w14:paraId="5D7908C9" w14:textId="77777777" w:rsidR="00DD666F" w:rsidRPr="00DD666F" w:rsidRDefault="00DD666F" w:rsidP="00DD666F">
      <w:pPr>
        <w:shd w:val="clear" w:color="auto" w:fill="F8F8F8"/>
        <w:spacing w:after="300" w:line="240" w:lineRule="auto"/>
        <w:rPr>
          <w:rFonts w:ascii="Open Sans" w:eastAsia="Times New Roman" w:hAnsi="Open Sans" w:cs="Open Sans"/>
          <w:color w:val="333333"/>
          <w:sz w:val="21"/>
          <w:szCs w:val="21"/>
          <w:lang w:eastAsia="en-IE"/>
        </w:rPr>
      </w:pPr>
      <w:hyperlink r:id="rId4" w:history="1">
        <w:r w:rsidRPr="00DD666F">
          <w:rPr>
            <w:rFonts w:ascii="Open Sans" w:eastAsia="Times New Roman" w:hAnsi="Open Sans" w:cs="Open Sans"/>
            <w:color w:val="337AB7"/>
            <w:sz w:val="21"/>
            <w:szCs w:val="21"/>
            <w:u w:val="single"/>
            <w:lang w:eastAsia="en-IE"/>
          </w:rPr>
          <w:t>back to contents</w:t>
        </w:r>
      </w:hyperlink>
    </w:p>
    <w:p w14:paraId="0752FED5" w14:textId="77777777" w:rsidR="00DD666F" w:rsidRPr="00DD666F" w:rsidRDefault="00DD666F" w:rsidP="00DD666F">
      <w:pPr>
        <w:pBdr>
          <w:bottom w:val="single" w:sz="6" w:space="13" w:color="CCCCCC"/>
        </w:pBdr>
        <w:shd w:val="clear" w:color="auto" w:fill="F8F8F8"/>
        <w:spacing w:after="375" w:line="288" w:lineRule="atLeast"/>
        <w:outlineLvl w:val="1"/>
        <w:rPr>
          <w:rFonts w:ascii="inherit" w:eastAsia="Times New Roman" w:hAnsi="inherit" w:cs="Open Sans"/>
          <w:color w:val="020202"/>
          <w:sz w:val="48"/>
          <w:szCs w:val="48"/>
          <w:lang w:eastAsia="en-IE"/>
        </w:rPr>
      </w:pPr>
      <w:r w:rsidRPr="00DD666F">
        <w:rPr>
          <w:rFonts w:ascii="inherit" w:eastAsia="Times New Roman" w:hAnsi="inherit" w:cs="Open Sans"/>
          <w:color w:val="020202"/>
          <w:sz w:val="48"/>
          <w:szCs w:val="48"/>
          <w:lang w:eastAsia="en-IE"/>
        </w:rPr>
        <w:t>Drivers win significant TUPE case at Stobart</w:t>
      </w:r>
    </w:p>
    <w:p w14:paraId="1606F5DE" w14:textId="77777777" w:rsidR="00DD666F" w:rsidRPr="00DD666F" w:rsidRDefault="00DD666F" w:rsidP="00DD666F">
      <w:pPr>
        <w:shd w:val="clear" w:color="auto" w:fill="F8F8F8"/>
        <w:spacing w:before="150" w:after="150" w:line="240" w:lineRule="auto"/>
        <w:outlineLvl w:val="4"/>
        <w:rPr>
          <w:rFonts w:ascii="inherit" w:eastAsia="Times New Roman" w:hAnsi="inherit" w:cs="Open Sans"/>
          <w:color w:val="333333"/>
          <w:sz w:val="21"/>
          <w:szCs w:val="21"/>
          <w:lang w:eastAsia="en-IE"/>
        </w:rPr>
      </w:pPr>
      <w:r w:rsidRPr="00DD666F">
        <w:rPr>
          <w:rFonts w:ascii="inherit" w:eastAsia="Times New Roman" w:hAnsi="inherit" w:cs="Open Sans"/>
          <w:b/>
          <w:bCs/>
          <w:color w:val="333333"/>
          <w:sz w:val="21"/>
          <w:szCs w:val="21"/>
          <w:lang w:eastAsia="en-IE"/>
        </w:rPr>
        <w:t>ANDY PRENDERGAST</w:t>
      </w:r>
    </w:p>
    <w:p w14:paraId="2412F9E0"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b/>
          <w:bCs/>
          <w:color w:val="333333"/>
          <w:sz w:val="21"/>
          <w:szCs w:val="21"/>
          <w:lang w:eastAsia="en-IE"/>
        </w:rPr>
        <w:t xml:space="preserve">In a considerable reversal of a previous Rights Commissioner decision – which found against SIPTU – the Employment Appeals Tribunal has found that a transfer of undertakings </w:t>
      </w:r>
      <w:proofErr w:type="gramStart"/>
      <w:r w:rsidRPr="00DD666F">
        <w:rPr>
          <w:rFonts w:ascii="Open Sans" w:eastAsia="Times New Roman" w:hAnsi="Open Sans" w:cs="Open Sans"/>
          <w:b/>
          <w:bCs/>
          <w:color w:val="333333"/>
          <w:sz w:val="21"/>
          <w:szCs w:val="21"/>
          <w:lang w:eastAsia="en-IE"/>
        </w:rPr>
        <w:t>actually did</w:t>
      </w:r>
      <w:proofErr w:type="gramEnd"/>
      <w:r w:rsidRPr="00DD666F">
        <w:rPr>
          <w:rFonts w:ascii="Open Sans" w:eastAsia="Times New Roman" w:hAnsi="Open Sans" w:cs="Open Sans"/>
          <w:b/>
          <w:bCs/>
          <w:color w:val="333333"/>
          <w:sz w:val="21"/>
          <w:szCs w:val="21"/>
          <w:lang w:eastAsia="en-IE"/>
        </w:rPr>
        <w:t xml:space="preserve"> take place between </w:t>
      </w:r>
      <w:proofErr w:type="spellStart"/>
      <w:r w:rsidRPr="00DD666F">
        <w:rPr>
          <w:rFonts w:ascii="Open Sans" w:eastAsia="Times New Roman" w:hAnsi="Open Sans" w:cs="Open Sans"/>
          <w:b/>
          <w:bCs/>
          <w:color w:val="333333"/>
          <w:sz w:val="21"/>
          <w:szCs w:val="21"/>
          <w:lang w:eastAsia="en-IE"/>
        </w:rPr>
        <w:t>Keelings</w:t>
      </w:r>
      <w:proofErr w:type="spellEnd"/>
      <w:r w:rsidRPr="00DD666F">
        <w:rPr>
          <w:rFonts w:ascii="Open Sans" w:eastAsia="Times New Roman" w:hAnsi="Open Sans" w:cs="Open Sans"/>
          <w:b/>
          <w:bCs/>
          <w:color w:val="333333"/>
          <w:sz w:val="21"/>
          <w:szCs w:val="21"/>
          <w:lang w:eastAsia="en-IE"/>
        </w:rPr>
        <w:t xml:space="preserve"> and Stobart in October 2010.</w:t>
      </w:r>
    </w:p>
    <w:p w14:paraId="0708D102"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This decision sets aside Rights Commissioner decisions, delivered in late 2011 </w:t>
      </w:r>
      <w:hyperlink r:id="rId5" w:tgtFrame="_blank" w:history="1">
        <w:r w:rsidRPr="00DD666F">
          <w:rPr>
            <w:rFonts w:ascii="Open Sans" w:eastAsia="Times New Roman" w:hAnsi="Open Sans" w:cs="Open Sans"/>
            <w:i/>
            <w:iCs/>
            <w:color w:val="337AB7"/>
            <w:sz w:val="21"/>
            <w:szCs w:val="21"/>
            <w:lang w:eastAsia="en-IE"/>
          </w:rPr>
          <w:t>(see IRN 44/2011)</w:t>
        </w:r>
      </w:hyperlink>
      <w:r w:rsidRPr="00DD666F">
        <w:rPr>
          <w:rFonts w:ascii="Open Sans" w:eastAsia="Times New Roman" w:hAnsi="Open Sans" w:cs="Open Sans"/>
          <w:color w:val="333333"/>
          <w:sz w:val="21"/>
          <w:szCs w:val="21"/>
          <w:lang w:eastAsia="en-IE"/>
        </w:rPr>
        <w:t>, which found against SIPTU’s claim that a transfer of undertakings, pursuant to S.I. 131/2003 (TUPE), took place at Tesco’s distribution centre in Ballymun.</w:t>
      </w:r>
    </w:p>
    <w:p w14:paraId="7846E9E7"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 xml:space="preserve">The transfer of the contract for Tesco’s distribution from the Ballymun depot – from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xml:space="preserve"> to Stobart, on October 22, 2010 – considerably altered the IR landscape at the depot; SIPTU had a collective agreement with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xml:space="preserve"> for a group of its members, but the union is not recognised by Stobart for collective bargaining purposes.</w:t>
      </w:r>
    </w:p>
    <w:p w14:paraId="53883B40"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Ballymun depot witnessed two strikes by SIPTU members in early 2012.</w:t>
      </w:r>
    </w:p>
    <w:p w14:paraId="2C55FBAA"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Regulation 4(2) of S.I. 131/2003 provides for the transferee company (in this case, Stobart) to observe the terms and conditions agreed in any collective agreement with the transferor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until that agreement expires or is replaced with another collective agreement.</w:t>
      </w:r>
    </w:p>
    <w:p w14:paraId="79A4746F"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EAT’s decision </w:t>
      </w:r>
      <w:r w:rsidRPr="00DD666F">
        <w:rPr>
          <w:rFonts w:ascii="Open Sans" w:eastAsia="Times New Roman" w:hAnsi="Open Sans" w:cs="Open Sans"/>
          <w:i/>
          <w:iCs/>
          <w:color w:val="333333"/>
          <w:sz w:val="21"/>
          <w:szCs w:val="21"/>
          <w:lang w:eastAsia="en-IE"/>
        </w:rPr>
        <w:t>(TU29/2011 to TU46/</w:t>
      </w:r>
      <w:proofErr w:type="gramStart"/>
      <w:r w:rsidRPr="00DD666F">
        <w:rPr>
          <w:rFonts w:ascii="Open Sans" w:eastAsia="Times New Roman" w:hAnsi="Open Sans" w:cs="Open Sans"/>
          <w:i/>
          <w:iCs/>
          <w:color w:val="333333"/>
          <w:sz w:val="21"/>
          <w:szCs w:val="21"/>
          <w:lang w:eastAsia="en-IE"/>
        </w:rPr>
        <w:t>2011)</w:t>
      </w:r>
      <w:r w:rsidRPr="00DD666F">
        <w:rPr>
          <w:rFonts w:ascii="Open Sans" w:eastAsia="Times New Roman" w:hAnsi="Open Sans" w:cs="Open Sans"/>
          <w:color w:val="333333"/>
          <w:sz w:val="21"/>
          <w:szCs w:val="21"/>
          <w:lang w:eastAsia="en-IE"/>
        </w:rPr>
        <w:t>requires</w:t>
      </w:r>
      <w:proofErr w:type="gramEnd"/>
      <w:r w:rsidRPr="00DD666F">
        <w:rPr>
          <w:rFonts w:ascii="Open Sans" w:eastAsia="Times New Roman" w:hAnsi="Open Sans" w:cs="Open Sans"/>
          <w:color w:val="333333"/>
          <w:sz w:val="21"/>
          <w:szCs w:val="21"/>
          <w:lang w:eastAsia="en-IE"/>
        </w:rPr>
        <w:t xml:space="preserve"> Stobart to compensate all 18 SIPTU claimants for any financial loss they suffered by the non-adherence of Stobart to the terms and conditions of their employment “and the said collective agreement” from the date of the transfer (October 22, 2010) to the date of the determination (April 2014).</w:t>
      </w:r>
    </w:p>
    <w:p w14:paraId="3513B1B3"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However, the EAT’s decision entails another interesting point, beyond the remit of claim taken by the SIPTU members.</w:t>
      </w:r>
    </w:p>
    <w:p w14:paraId="4F94DEBE"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According to Regulation 5 of TUPE, dismissals in a transfer of undertakings scenario are prohibited. The EAT noted that “a very large proportion of the staff actually ceased work with Company K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on 21 October 2010 and commenced with the respondent [Stobart] on 22 October 2010.”</w:t>
      </w:r>
    </w:p>
    <w:p w14:paraId="1D31FA24"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Such staff who “took or received ‘redundancy’ at this time” could not legally have been made redundant, as dismissals (i.e. redundancy) are prohibited.</w:t>
      </w:r>
    </w:p>
    <w:p w14:paraId="2155E5C3" w14:textId="77777777" w:rsidR="00DD666F" w:rsidRPr="00DD666F" w:rsidRDefault="00DD666F" w:rsidP="00DD666F">
      <w:pPr>
        <w:shd w:val="clear" w:color="auto" w:fill="F8F8F8"/>
        <w:spacing w:before="300" w:after="150" w:line="312" w:lineRule="atLeast"/>
        <w:outlineLvl w:val="3"/>
        <w:rPr>
          <w:rFonts w:ascii="Open Sans" w:eastAsia="Times New Roman" w:hAnsi="Open Sans" w:cs="Open Sans"/>
          <w:b/>
          <w:bCs/>
          <w:caps/>
          <w:color w:val="00205A"/>
          <w:sz w:val="24"/>
          <w:szCs w:val="24"/>
          <w:lang w:eastAsia="en-IE"/>
        </w:rPr>
      </w:pPr>
      <w:r w:rsidRPr="00DD666F">
        <w:rPr>
          <w:rFonts w:ascii="Open Sans" w:eastAsia="Times New Roman" w:hAnsi="Open Sans" w:cs="Open Sans"/>
          <w:b/>
          <w:bCs/>
          <w:caps/>
          <w:color w:val="00205A"/>
          <w:sz w:val="24"/>
          <w:szCs w:val="24"/>
          <w:lang w:eastAsia="en-IE"/>
        </w:rPr>
        <w:t>TRANSFER OF ECONOMIC ENTITY</w:t>
      </w:r>
    </w:p>
    <w:p w14:paraId="775C2388"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lastRenderedPageBreak/>
        <w:t>The Tribunal outlined several reasons as to why it held a transfer of undertakings (subject to the Transfer of Undertakings Directive) took place, with consideration given to legal precedent, namely the ECJ case </w:t>
      </w:r>
      <w:r w:rsidRPr="00DD666F">
        <w:rPr>
          <w:rFonts w:ascii="Open Sans" w:eastAsia="Times New Roman" w:hAnsi="Open Sans" w:cs="Open Sans"/>
          <w:i/>
          <w:iCs/>
          <w:color w:val="333333"/>
          <w:sz w:val="21"/>
          <w:szCs w:val="21"/>
          <w:lang w:eastAsia="en-IE"/>
        </w:rPr>
        <w:t xml:space="preserve">Ayse Suzen v </w:t>
      </w:r>
      <w:proofErr w:type="spellStart"/>
      <w:r w:rsidRPr="00DD666F">
        <w:rPr>
          <w:rFonts w:ascii="Open Sans" w:eastAsia="Times New Roman" w:hAnsi="Open Sans" w:cs="Open Sans"/>
          <w:i/>
          <w:iCs/>
          <w:color w:val="333333"/>
          <w:sz w:val="21"/>
          <w:szCs w:val="21"/>
          <w:lang w:eastAsia="en-IE"/>
        </w:rPr>
        <w:t>Zehnacher</w:t>
      </w:r>
      <w:proofErr w:type="spellEnd"/>
      <w:r w:rsidRPr="00DD666F">
        <w:rPr>
          <w:rFonts w:ascii="Open Sans" w:eastAsia="Times New Roman" w:hAnsi="Open Sans" w:cs="Open Sans"/>
          <w:i/>
          <w:iCs/>
          <w:color w:val="333333"/>
          <w:sz w:val="21"/>
          <w:szCs w:val="21"/>
          <w:lang w:eastAsia="en-IE"/>
        </w:rPr>
        <w:t xml:space="preserve"> et al</w:t>
      </w:r>
      <w:r w:rsidRPr="00DD666F">
        <w:rPr>
          <w:rFonts w:ascii="Open Sans" w:eastAsia="Times New Roman" w:hAnsi="Open Sans" w:cs="Open Sans"/>
          <w:color w:val="333333"/>
          <w:sz w:val="21"/>
          <w:szCs w:val="21"/>
          <w:lang w:eastAsia="en-IE"/>
        </w:rPr>
        <w:t> as well as the </w:t>
      </w:r>
      <w:proofErr w:type="spellStart"/>
      <w:r w:rsidRPr="00DD666F">
        <w:rPr>
          <w:rFonts w:ascii="Open Sans" w:eastAsia="Times New Roman" w:hAnsi="Open Sans" w:cs="Open Sans"/>
          <w:i/>
          <w:iCs/>
          <w:color w:val="333333"/>
          <w:sz w:val="21"/>
          <w:szCs w:val="21"/>
          <w:lang w:eastAsia="en-IE"/>
        </w:rPr>
        <w:t>Spijkers</w:t>
      </w:r>
      <w:proofErr w:type="spellEnd"/>
      <w:r w:rsidRPr="00DD666F">
        <w:rPr>
          <w:rFonts w:ascii="Open Sans" w:eastAsia="Times New Roman" w:hAnsi="Open Sans" w:cs="Open Sans"/>
          <w:color w:val="333333"/>
          <w:sz w:val="21"/>
          <w:szCs w:val="21"/>
          <w:lang w:eastAsia="en-IE"/>
        </w:rPr>
        <w:t>, </w:t>
      </w:r>
      <w:r w:rsidRPr="00DD666F">
        <w:rPr>
          <w:rFonts w:ascii="Open Sans" w:eastAsia="Times New Roman" w:hAnsi="Open Sans" w:cs="Open Sans"/>
          <w:i/>
          <w:iCs/>
          <w:color w:val="333333"/>
          <w:sz w:val="21"/>
          <w:szCs w:val="21"/>
          <w:lang w:eastAsia="en-IE"/>
        </w:rPr>
        <w:t>Hernandes</w:t>
      </w:r>
      <w:r w:rsidRPr="00DD666F">
        <w:rPr>
          <w:rFonts w:ascii="Open Sans" w:eastAsia="Times New Roman" w:hAnsi="Open Sans" w:cs="Open Sans"/>
          <w:color w:val="333333"/>
          <w:sz w:val="21"/>
          <w:szCs w:val="21"/>
          <w:lang w:eastAsia="en-IE"/>
        </w:rPr>
        <w:t> and </w:t>
      </w:r>
      <w:r w:rsidRPr="00DD666F">
        <w:rPr>
          <w:rFonts w:ascii="Open Sans" w:eastAsia="Times New Roman" w:hAnsi="Open Sans" w:cs="Open Sans"/>
          <w:i/>
          <w:iCs/>
          <w:color w:val="333333"/>
          <w:sz w:val="21"/>
          <w:szCs w:val="21"/>
          <w:lang w:eastAsia="en-IE"/>
        </w:rPr>
        <w:t>Hidalgo</w:t>
      </w:r>
      <w:r w:rsidRPr="00DD666F">
        <w:rPr>
          <w:rFonts w:ascii="Open Sans" w:eastAsia="Times New Roman" w:hAnsi="Open Sans" w:cs="Open Sans"/>
          <w:color w:val="333333"/>
          <w:sz w:val="21"/>
          <w:szCs w:val="21"/>
          <w:lang w:eastAsia="en-IE"/>
        </w:rPr>
        <w:t> cases.</w:t>
      </w:r>
    </w:p>
    <w:p w14:paraId="24CC135E"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only change that took place on the contract was the overall management of the contract. “The passing of this contract between the parties necessitated the transfer of staff, vehicles and the use of premises from one party to the other.”</w:t>
      </w:r>
    </w:p>
    <w:p w14:paraId="440FB379"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stable economic entity test “did not need much consideration” because the facts spoke for themselves. “What was passed was a cohesive unit of buildings, equipment, trucks, trailers and many of the staff along the distribution and transport elements. There probably would have been changes to the schedules and rotas of the workforce but the shops receiving the goods would have remained the same.”</w:t>
      </w:r>
    </w:p>
    <w:p w14:paraId="2964F6E2"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 xml:space="preserve">If the assets are owned by a third party (in this case, Tesco) and used by the transferor/transferee </w:t>
      </w:r>
      <w:proofErr w:type="gramStart"/>
      <w:r w:rsidRPr="00DD666F">
        <w:rPr>
          <w:rFonts w:ascii="Open Sans" w:eastAsia="Times New Roman" w:hAnsi="Open Sans" w:cs="Open Sans"/>
          <w:color w:val="333333"/>
          <w:sz w:val="21"/>
          <w:szCs w:val="21"/>
          <w:lang w:eastAsia="en-IE"/>
        </w:rPr>
        <w:t>during the course of</w:t>
      </w:r>
      <w:proofErr w:type="gramEnd"/>
      <w:r w:rsidRPr="00DD666F">
        <w:rPr>
          <w:rFonts w:ascii="Open Sans" w:eastAsia="Times New Roman" w:hAnsi="Open Sans" w:cs="Open Sans"/>
          <w:color w:val="333333"/>
          <w:sz w:val="21"/>
          <w:szCs w:val="21"/>
          <w:lang w:eastAsia="en-IE"/>
        </w:rPr>
        <w:t xml:space="preserve"> the contract “it is settled law that the transfer of undertakings directive would apply.” Stobart used vehicles (63 tractor units, 131 trailers, 8 rigid trucks, 3 tug </w:t>
      </w:r>
      <w:proofErr w:type="gramStart"/>
      <w:r w:rsidRPr="00DD666F">
        <w:rPr>
          <w:rFonts w:ascii="Open Sans" w:eastAsia="Times New Roman" w:hAnsi="Open Sans" w:cs="Open Sans"/>
          <w:color w:val="333333"/>
          <w:sz w:val="21"/>
          <w:szCs w:val="21"/>
          <w:lang w:eastAsia="en-IE"/>
        </w:rPr>
        <w:t>masters</w:t>
      </w:r>
      <w:proofErr w:type="gramEnd"/>
      <w:r w:rsidRPr="00DD666F">
        <w:rPr>
          <w:rFonts w:ascii="Open Sans" w:eastAsia="Times New Roman" w:hAnsi="Open Sans" w:cs="Open Sans"/>
          <w:color w:val="333333"/>
          <w:sz w:val="21"/>
          <w:szCs w:val="21"/>
          <w:lang w:eastAsia="en-IE"/>
        </w:rPr>
        <w:t xml:space="preserve"> and 5 double-decker trucks) previously used by </w:t>
      </w:r>
      <w:proofErr w:type="spellStart"/>
      <w:proofErr w:type="gram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and</w:t>
      </w:r>
      <w:proofErr w:type="gramEnd"/>
      <w:r w:rsidRPr="00DD666F">
        <w:rPr>
          <w:rFonts w:ascii="Open Sans" w:eastAsia="Times New Roman" w:hAnsi="Open Sans" w:cs="Open Sans"/>
          <w:color w:val="333333"/>
          <w:sz w:val="21"/>
          <w:szCs w:val="21"/>
          <w:lang w:eastAsia="en-IE"/>
        </w:rPr>
        <w:t xml:space="preserve"> owned by Tesco.</w:t>
      </w:r>
    </w:p>
    <w:p w14:paraId="21601259"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There is no direct link required between the transferor and transferee for a transfer of undertakings to apply.</w:t>
      </w:r>
    </w:p>
    <w:p w14:paraId="7DAC966D"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 xml:space="preserve">In </w:t>
      </w:r>
      <w:proofErr w:type="gramStart"/>
      <w:r w:rsidRPr="00DD666F">
        <w:rPr>
          <w:rFonts w:ascii="Open Sans" w:eastAsia="Times New Roman" w:hAnsi="Open Sans" w:cs="Open Sans"/>
          <w:color w:val="333333"/>
          <w:sz w:val="21"/>
          <w:szCs w:val="21"/>
          <w:lang w:eastAsia="en-IE"/>
        </w:rPr>
        <w:t>addition</w:t>
      </w:r>
      <w:proofErr w:type="gramEnd"/>
      <w:r w:rsidRPr="00DD666F">
        <w:rPr>
          <w:rFonts w:ascii="Open Sans" w:eastAsia="Times New Roman" w:hAnsi="Open Sans" w:cs="Open Sans"/>
          <w:color w:val="333333"/>
          <w:sz w:val="21"/>
          <w:szCs w:val="21"/>
          <w:lang w:eastAsia="en-IE"/>
        </w:rPr>
        <w:t xml:space="preserve"> “an identifiable workforce in almost its entirety also transferred and the expertise and knowledge of the various itineraries used by the workforce in delivering the goods of [Tesco] must have been a factor in the consideration of [Tesco] when awarding the contract.”</w:t>
      </w:r>
    </w:p>
    <w:p w14:paraId="6113D958"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experience of the workforce is held to be an “intangible asset”.</w:t>
      </w:r>
    </w:p>
    <w:p w14:paraId="5185E7A6"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proofErr w:type="gramStart"/>
      <w:r w:rsidRPr="00DD666F">
        <w:rPr>
          <w:rFonts w:ascii="Open Sans" w:eastAsia="Times New Roman" w:hAnsi="Open Sans" w:cs="Open Sans"/>
          <w:color w:val="333333"/>
          <w:sz w:val="21"/>
          <w:szCs w:val="21"/>
          <w:lang w:eastAsia="en-IE"/>
        </w:rPr>
        <w:t>The vast majority of</w:t>
      </w:r>
      <w:proofErr w:type="gramEnd"/>
      <w:r w:rsidRPr="00DD666F">
        <w:rPr>
          <w:rFonts w:ascii="Open Sans" w:eastAsia="Times New Roman" w:hAnsi="Open Sans" w:cs="Open Sans"/>
          <w:color w:val="333333"/>
          <w:sz w:val="21"/>
          <w:szCs w:val="21"/>
          <w:lang w:eastAsia="en-IE"/>
        </w:rPr>
        <w:t xml:space="preserve"> staff working for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xml:space="preserve"> on October 21, </w:t>
      </w:r>
      <w:proofErr w:type="gramStart"/>
      <w:r w:rsidRPr="00DD666F">
        <w:rPr>
          <w:rFonts w:ascii="Open Sans" w:eastAsia="Times New Roman" w:hAnsi="Open Sans" w:cs="Open Sans"/>
          <w:color w:val="333333"/>
          <w:sz w:val="21"/>
          <w:szCs w:val="21"/>
          <w:lang w:eastAsia="en-IE"/>
        </w:rPr>
        <w:t>2010</w:t>
      </w:r>
      <w:proofErr w:type="gramEnd"/>
      <w:r w:rsidRPr="00DD666F">
        <w:rPr>
          <w:rFonts w:ascii="Open Sans" w:eastAsia="Times New Roman" w:hAnsi="Open Sans" w:cs="Open Sans"/>
          <w:color w:val="333333"/>
          <w:sz w:val="21"/>
          <w:szCs w:val="21"/>
          <w:lang w:eastAsia="en-IE"/>
        </w:rPr>
        <w:t xml:space="preserve"> where working with Stobart on October 22. Though some staff received redundancy – the 18 claimants did not take </w:t>
      </w:r>
      <w:proofErr w:type="gramStart"/>
      <w:r w:rsidRPr="00DD666F">
        <w:rPr>
          <w:rFonts w:ascii="Open Sans" w:eastAsia="Times New Roman" w:hAnsi="Open Sans" w:cs="Open Sans"/>
          <w:color w:val="333333"/>
          <w:sz w:val="21"/>
          <w:szCs w:val="21"/>
          <w:lang w:eastAsia="en-IE"/>
        </w:rPr>
        <w:t>redundancy, but</w:t>
      </w:r>
      <w:proofErr w:type="gramEnd"/>
      <w:r w:rsidRPr="00DD666F">
        <w:rPr>
          <w:rFonts w:ascii="Open Sans" w:eastAsia="Times New Roman" w:hAnsi="Open Sans" w:cs="Open Sans"/>
          <w:color w:val="333333"/>
          <w:sz w:val="21"/>
          <w:szCs w:val="21"/>
          <w:lang w:eastAsia="en-IE"/>
        </w:rPr>
        <w:t xml:space="preserve"> continued to work the next day – the Tribunal said it was “unsure who paid that redundancy and some of these staff continued to work for the undertaking subsequent to the date of transfer.”</w:t>
      </w:r>
    </w:p>
    <w:p w14:paraId="1914AD9D" w14:textId="77777777" w:rsidR="00DD666F" w:rsidRPr="00DD666F" w:rsidRDefault="00DD666F" w:rsidP="00DD666F">
      <w:pPr>
        <w:shd w:val="clear" w:color="auto" w:fill="F8F8F8"/>
        <w:spacing w:before="300" w:after="150" w:line="312" w:lineRule="atLeast"/>
        <w:outlineLvl w:val="3"/>
        <w:rPr>
          <w:rFonts w:ascii="Open Sans" w:eastAsia="Times New Roman" w:hAnsi="Open Sans" w:cs="Open Sans"/>
          <w:b/>
          <w:bCs/>
          <w:caps/>
          <w:color w:val="00205A"/>
          <w:sz w:val="24"/>
          <w:szCs w:val="24"/>
          <w:lang w:eastAsia="en-IE"/>
        </w:rPr>
      </w:pPr>
      <w:r w:rsidRPr="00DD666F">
        <w:rPr>
          <w:rFonts w:ascii="Open Sans" w:eastAsia="Times New Roman" w:hAnsi="Open Sans" w:cs="Open Sans"/>
          <w:b/>
          <w:bCs/>
          <w:caps/>
          <w:color w:val="00205A"/>
          <w:sz w:val="24"/>
          <w:szCs w:val="24"/>
          <w:lang w:eastAsia="en-IE"/>
        </w:rPr>
        <w:t>“ENCAPSULATES ALL ELEMENTS”</w:t>
      </w:r>
    </w:p>
    <w:p w14:paraId="49551F80"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EAT said the type of undertaking in this case “encapsulates all the elements that would be necessary to comprise an undertaking (economic entity) for the purposes of the Directive. It was a stable economic unit containing tangible assets of considerable value along with a stable workforce working to a contract that had an identifiable customer base of [Tesco] outlets all over the country.”</w:t>
      </w:r>
    </w:p>
    <w:p w14:paraId="61A64591"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lastRenderedPageBreak/>
        <w:t xml:space="preserve">The fact that there was no contractual relationship between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xml:space="preserve"> and Stobart did not prevent a transfer of undertakings actually taking place, the Tribunal pointed out, noting ECJ precedent has established that ownership of the undertaking is not a factor that can impact on the Directive applying, provided the transfer is embodied in a contract and that contract goes from one natural or legal person to another who takes on the function of employer.</w:t>
      </w:r>
    </w:p>
    <w:p w14:paraId="42C7C43C"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The Tribunal found Stobart in breach of Regulations 4(2), 7(1), 8(1)(2)(3) of S.I. 131/2003.</w:t>
      </w:r>
    </w:p>
    <w:p w14:paraId="04C0159B" w14:textId="77777777" w:rsidR="00DD666F" w:rsidRPr="00DD666F" w:rsidRDefault="00DD666F" w:rsidP="00DD666F">
      <w:pPr>
        <w:shd w:val="clear" w:color="auto" w:fill="F8F8F8"/>
        <w:spacing w:after="375" w:line="240" w:lineRule="auto"/>
        <w:rPr>
          <w:rFonts w:ascii="Open Sans" w:eastAsia="Times New Roman" w:hAnsi="Open Sans" w:cs="Open Sans"/>
          <w:color w:val="333333"/>
          <w:sz w:val="21"/>
          <w:szCs w:val="21"/>
          <w:lang w:eastAsia="en-IE"/>
        </w:rPr>
      </w:pPr>
      <w:r w:rsidRPr="00DD666F">
        <w:rPr>
          <w:rFonts w:ascii="Open Sans" w:eastAsia="Times New Roman" w:hAnsi="Open Sans" w:cs="Open Sans"/>
          <w:color w:val="333333"/>
          <w:sz w:val="21"/>
          <w:szCs w:val="21"/>
          <w:lang w:eastAsia="en-IE"/>
        </w:rPr>
        <w:t>Stobart are now required to “honour all conditions of employment and the terms of the agreement made between the transferor [</w:t>
      </w:r>
      <w:proofErr w:type="spellStart"/>
      <w:r w:rsidRPr="00DD666F">
        <w:rPr>
          <w:rFonts w:ascii="Open Sans" w:eastAsia="Times New Roman" w:hAnsi="Open Sans" w:cs="Open Sans"/>
          <w:color w:val="333333"/>
          <w:sz w:val="21"/>
          <w:szCs w:val="21"/>
          <w:lang w:eastAsia="en-IE"/>
        </w:rPr>
        <w:t>Keelings</w:t>
      </w:r>
      <w:proofErr w:type="spellEnd"/>
      <w:r w:rsidRPr="00DD666F">
        <w:rPr>
          <w:rFonts w:ascii="Open Sans" w:eastAsia="Times New Roman" w:hAnsi="Open Sans" w:cs="Open Sans"/>
          <w:color w:val="333333"/>
          <w:sz w:val="21"/>
          <w:szCs w:val="21"/>
          <w:lang w:eastAsia="en-IE"/>
        </w:rPr>
        <w:t>] and the representatives of the appellants [SIPTU] prior to the transfer and compensate each of the appellants for all and any financial loss suffered by them by the non-adherence of the respondent to the terms and conditions of their employment and the said agreement from the date of the transfer, the 22nd of October 2010, to the date of this determination.” </w:t>
      </w:r>
      <w:r w:rsidRPr="00DD666F">
        <w:rPr>
          <w:rFonts w:ascii="Open Sans" w:eastAsia="Times New Roman" w:hAnsi="Open Sans" w:cs="Open Sans"/>
          <w:i/>
          <w:iCs/>
          <w:color w:val="333333"/>
          <w:sz w:val="21"/>
          <w:szCs w:val="21"/>
          <w:lang w:eastAsia="en-IE"/>
        </w:rPr>
        <w:t>(TU29/2011 to TU46/2011)</w:t>
      </w:r>
      <w:r w:rsidRPr="00DD666F">
        <w:rPr>
          <w:rFonts w:ascii="Open Sans" w:eastAsia="Times New Roman" w:hAnsi="Open Sans" w:cs="Open Sans"/>
          <w:color w:val="333333"/>
          <w:sz w:val="21"/>
          <w:szCs w:val="21"/>
          <w:lang w:eastAsia="en-IE"/>
        </w:rPr>
        <w:t>.</w:t>
      </w:r>
    </w:p>
    <w:p w14:paraId="58098CAF" w14:textId="77777777" w:rsidR="007A317F" w:rsidRDefault="007A317F"/>
    <w:sectPr w:rsidR="007A31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66F"/>
    <w:rsid w:val="002D6602"/>
    <w:rsid w:val="003B1E8D"/>
    <w:rsid w:val="007A317F"/>
    <w:rsid w:val="00AD2193"/>
    <w:rsid w:val="00DD66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B8FF"/>
  <w15:chartTrackingRefBased/>
  <w15:docId w15:val="{57A49328-8B7F-4019-9DDD-7B5F7E95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720321">
      <w:bodyDiv w:val="1"/>
      <w:marLeft w:val="0"/>
      <w:marRight w:val="0"/>
      <w:marTop w:val="0"/>
      <w:marBottom w:val="0"/>
      <w:divBdr>
        <w:top w:val="none" w:sz="0" w:space="0" w:color="auto"/>
        <w:left w:val="none" w:sz="0" w:space="0" w:color="auto"/>
        <w:bottom w:val="none" w:sz="0" w:space="0" w:color="auto"/>
        <w:right w:val="none" w:sz="0" w:space="0" w:color="auto"/>
      </w:divBdr>
      <w:divsChild>
        <w:div w:id="875115928">
          <w:marLeft w:val="0"/>
          <w:marRight w:val="0"/>
          <w:marTop w:val="0"/>
          <w:marBottom w:val="0"/>
          <w:divBdr>
            <w:top w:val="none" w:sz="0" w:space="0" w:color="auto"/>
            <w:left w:val="none" w:sz="0" w:space="0" w:color="auto"/>
            <w:bottom w:val="none" w:sz="0" w:space="0" w:color="auto"/>
            <w:right w:val="none" w:sz="0" w:space="0" w:color="auto"/>
          </w:divBdr>
          <w:divsChild>
            <w:div w:id="703335106">
              <w:marLeft w:val="-225"/>
              <w:marRight w:val="-225"/>
              <w:marTop w:val="0"/>
              <w:marBottom w:val="0"/>
              <w:divBdr>
                <w:top w:val="none" w:sz="0" w:space="0" w:color="auto"/>
                <w:left w:val="none" w:sz="0" w:space="0" w:color="auto"/>
                <w:bottom w:val="none" w:sz="0" w:space="0" w:color="auto"/>
                <w:right w:val="none" w:sz="0" w:space="0" w:color="auto"/>
              </w:divBdr>
              <w:divsChild>
                <w:div w:id="6961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430010">
          <w:marLeft w:val="0"/>
          <w:marRight w:val="0"/>
          <w:marTop w:val="0"/>
          <w:marBottom w:val="0"/>
          <w:divBdr>
            <w:top w:val="none" w:sz="0" w:space="0" w:color="auto"/>
            <w:left w:val="none" w:sz="0" w:space="0" w:color="auto"/>
            <w:bottom w:val="none" w:sz="0" w:space="0" w:color="auto"/>
            <w:right w:val="none" w:sz="0" w:space="0" w:color="auto"/>
          </w:divBdr>
          <w:divsChild>
            <w:div w:id="1354648663">
              <w:marLeft w:val="-225"/>
              <w:marRight w:val="-225"/>
              <w:marTop w:val="0"/>
              <w:marBottom w:val="0"/>
              <w:divBdr>
                <w:top w:val="none" w:sz="0" w:space="0" w:color="auto"/>
                <w:left w:val="none" w:sz="0" w:space="0" w:color="auto"/>
                <w:bottom w:val="none" w:sz="0" w:space="0" w:color="auto"/>
                <w:right w:val="none" w:sz="0" w:space="0" w:color="auto"/>
              </w:divBdr>
              <w:divsChild>
                <w:div w:id="755790771">
                  <w:marLeft w:val="0"/>
                  <w:marRight w:val="0"/>
                  <w:marTop w:val="0"/>
                  <w:marBottom w:val="0"/>
                  <w:divBdr>
                    <w:top w:val="none" w:sz="0" w:space="0" w:color="auto"/>
                    <w:left w:val="none" w:sz="0" w:space="0" w:color="auto"/>
                    <w:bottom w:val="none" w:sz="0" w:space="0" w:color="auto"/>
                    <w:right w:val="none" w:sz="0" w:space="0" w:color="auto"/>
                  </w:divBdr>
                  <w:divsChild>
                    <w:div w:id="441804154">
                      <w:marLeft w:val="0"/>
                      <w:marRight w:val="0"/>
                      <w:marTop w:val="600"/>
                      <w:marBottom w:val="0"/>
                      <w:divBdr>
                        <w:top w:val="none" w:sz="0" w:space="0" w:color="auto"/>
                        <w:left w:val="none" w:sz="0" w:space="0" w:color="auto"/>
                        <w:bottom w:val="none" w:sz="0" w:space="0" w:color="auto"/>
                        <w:right w:val="none" w:sz="0" w:space="0" w:color="auto"/>
                      </w:divBdr>
                    </w:div>
                    <w:div w:id="229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rn.ie/issues/article.asp?id=18052&amp;issueType=4&amp;kw=Tesco" TargetMode="External"/><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5102</Characters>
  <Application>Microsoft Office Word</Application>
  <DocSecurity>0</DocSecurity>
  <Lines>42</Lines>
  <Paragraphs>11</Paragraphs>
  <ScaleCrop>false</ScaleCrop>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Phillips</dc:creator>
  <cp:keywords/>
  <dc:description/>
  <cp:lastModifiedBy>Roisin Boyle</cp:lastModifiedBy>
  <cp:revision>2</cp:revision>
  <dcterms:created xsi:type="dcterms:W3CDTF">2025-09-26T15:58:00Z</dcterms:created>
  <dcterms:modified xsi:type="dcterms:W3CDTF">2025-09-26T15:58:00Z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07fdd-18d3-4dbe-9af5-11ecd8aefe73_Enabled">
    <vt:lpwstr>true</vt:lpwstr>
  </property>
  <property fmtid="{D5CDD505-2E9C-101B-9397-08002B2CF9AE}" pid="3" name="MSIP_Label_b7407fdd-18d3-4dbe-9af5-11ecd8aefe73_SetDate">
    <vt:lpwstr>2025-09-26T15:57:48Z</vt:lpwstr>
  </property>
  <property fmtid="{D5CDD505-2E9C-101B-9397-08002B2CF9AE}" pid="4" name="MSIP_Label_b7407fdd-18d3-4dbe-9af5-11ecd8aefe73_Method">
    <vt:lpwstr>Privileged</vt:lpwstr>
  </property>
  <property fmtid="{D5CDD505-2E9C-101B-9397-08002B2CF9AE}" pid="5" name="MSIP_Label_b7407fdd-18d3-4dbe-9af5-11ecd8aefe73_Name">
    <vt:lpwstr>SIPTU - Confidential</vt:lpwstr>
  </property>
  <property fmtid="{D5CDD505-2E9C-101B-9397-08002B2CF9AE}" pid="6" name="MSIP_Label_b7407fdd-18d3-4dbe-9af5-11ecd8aefe73_SiteId">
    <vt:lpwstr>b47628df-374d-4176-b661-a9858753cbac</vt:lpwstr>
  </property>
  <property fmtid="{D5CDD505-2E9C-101B-9397-08002B2CF9AE}" pid="7" name="MSIP_Label_b7407fdd-18d3-4dbe-9af5-11ecd8aefe73_ActionId">
    <vt:lpwstr>637488e8-8dd1-4385-bacf-d97682937f4b</vt:lpwstr>
  </property>
  <property fmtid="{D5CDD505-2E9C-101B-9397-08002B2CF9AE}" pid="8" name="MSIP_Label_b7407fdd-18d3-4dbe-9af5-11ecd8aefe73_ContentBits">
    <vt:lpwstr>0</vt:lpwstr>
  </property>
  <property fmtid="{D5CDD505-2E9C-101B-9397-08002B2CF9AE}" pid="9" name="MSIP_Label_b7407fdd-18d3-4dbe-9af5-11ecd8aefe73_Tag">
    <vt:lpwstr>10, 0, 1, 1</vt:lpwstr>
  </property>
</Properties>
</file>